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174486d8a12b.htm"/>
      <w:bookmarkStart w:id="1" w:name="ksd174486d8a12b"/>
      <w:bookmarkEnd w:id="0"/>
      <w:bookmarkEnd w:id="1"/>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36"/>
        </w:rPr>
      </w:pPr>
      <w:r>
        <w:rPr>
          <w:rFonts w:ascii="Times New Roman" w:hAnsi="Times New Roman"/>
          <w:b/>
          <w:sz w:val="36"/>
        </w:rPr>
        <w:t xml:space="preserve">UNITED STATES </w:t>
      </w:r>
    </w:p>
    <w:p>
      <w:pPr>
        <w:pStyle w:val="TextBody"/>
        <w:bidi w:val="0"/>
        <w:spacing w:before="0" w:after="0"/>
        <w:jc w:val="center"/>
        <w:rPr>
          <w:rFonts w:ascii="Times New Roman" w:hAnsi="Times New Roman"/>
          <w:b/>
          <w:sz w:val="36"/>
        </w:rPr>
      </w:pPr>
      <w:r>
        <w:rPr>
          <w:rFonts w:ascii="Times New Roman" w:hAnsi="Times New Roman"/>
          <w:b/>
          <w:sz w:val="36"/>
        </w:rPr>
        <w:t xml:space="preserve">SECURITIES AND EXCHANGE COMMISSION </w:t>
      </w:r>
    </w:p>
    <w:p>
      <w:pPr>
        <w:pStyle w:val="TextBody"/>
        <w:bidi w:val="0"/>
        <w:spacing w:before="0" w:after="0"/>
        <w:jc w:val="center"/>
        <w:rPr>
          <w:rFonts w:ascii="Times New Roman" w:hAnsi="Times New Roman"/>
          <w:b/>
          <w:sz w:val="24"/>
        </w:rPr>
      </w:pPr>
      <w:r>
        <w:rPr>
          <w:rFonts w:ascii="Times New Roman" w:hAnsi="Times New Roman"/>
          <w:b/>
          <w:sz w:val="24"/>
        </w:rPr>
        <w:t xml:space="preserve">WASHINGTON, D.C. 20549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36"/>
        </w:rPr>
      </w:pPr>
      <w:r>
        <w:rPr>
          <w:rFonts w:ascii="Times New Roman" w:hAnsi="Times New Roman"/>
          <w:b/>
          <w:sz w:val="36"/>
        </w:rPr>
        <w:t xml:space="preserve">FORM 8-A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4"/>
        </w:rPr>
      </w:pPr>
      <w:r>
        <w:rPr>
          <w:rFonts w:ascii="Times New Roman" w:hAnsi="Times New Roman"/>
          <w:b/>
          <w:sz w:val="24"/>
        </w:rPr>
        <w:t xml:space="preserve">FOR REGISTRATION OF CERTAIN CLASSES OF SECURITIES </w:t>
      </w:r>
    </w:p>
    <w:p>
      <w:pPr>
        <w:pStyle w:val="TextBody"/>
        <w:bidi w:val="0"/>
        <w:spacing w:before="0" w:after="0"/>
        <w:jc w:val="center"/>
        <w:rPr>
          <w:rFonts w:ascii="Times New Roman" w:hAnsi="Times New Roman"/>
          <w:b/>
          <w:sz w:val="24"/>
        </w:rPr>
      </w:pPr>
      <w:r>
        <w:rPr>
          <w:rFonts w:ascii="Times New Roman" w:hAnsi="Times New Roman"/>
          <w:b/>
          <w:sz w:val="24"/>
        </w:rPr>
        <w:t xml:space="preserve">PURSUANT TO SECTION 12(b) OR (g) OF </w:t>
      </w:r>
    </w:p>
    <w:p>
      <w:pPr>
        <w:pStyle w:val="TextBody"/>
        <w:bidi w:val="0"/>
        <w:spacing w:before="0" w:after="0"/>
        <w:jc w:val="center"/>
        <w:rPr>
          <w:rFonts w:ascii="Times New Roman" w:hAnsi="Times New Roman"/>
          <w:b/>
          <w:sz w:val="24"/>
        </w:rPr>
      </w:pPr>
      <w:r>
        <w:rPr>
          <w:rFonts w:ascii="Times New Roman" w:hAnsi="Times New Roman"/>
          <w:b/>
          <w:sz w:val="24"/>
        </w:rPr>
        <w:t xml:space="preserve">THE SECURITIES EXCHANGE ACT OF 1934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48"/>
        </w:rPr>
      </w:pPr>
      <w:r>
        <w:rPr>
          <w:rFonts w:ascii="Times New Roman" w:hAnsi="Times New Roman"/>
          <w:b/>
          <w:sz w:val="48"/>
        </w:rPr>
        <w:t xml:space="preserve">Electra Therapeutics, Inc. </w:t>
      </w:r>
    </w:p>
    <w:p>
      <w:pPr>
        <w:pStyle w:val="TextBody"/>
        <w:bidi w:val="0"/>
        <w:spacing w:before="0" w:after="0"/>
        <w:jc w:val="center"/>
        <w:rPr>
          <w:rFonts w:ascii="Times New Roman" w:hAnsi="Times New Roman"/>
          <w:b/>
          <w:sz w:val="20"/>
        </w:rPr>
      </w:pPr>
      <w:r>
        <w:rPr>
          <w:rFonts w:ascii="Times New Roman" w:hAnsi="Times New Roman"/>
          <w:b/>
          <w:sz w:val="20"/>
        </w:rPr>
        <w:t xml:space="preserve">(Exact name of registrant as specified in its charter)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154"/>
        <w:gridCol w:w="102"/>
        <w:gridCol w:w="4949"/>
      </w:tblGrid>
      <w:tr>
        <w:trPr/>
        <w:tc>
          <w:tcPr>
            <w:tcW w:w="5154"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4949" w:type="dxa"/>
            <w:tcBorders/>
            <w:vAlign w:val="center"/>
          </w:tcPr>
          <w:p>
            <w:pPr>
              <w:pStyle w:val="TableContents"/>
              <w:bidi w:val="0"/>
              <w:spacing w:before="0" w:after="283"/>
              <w:jc w:val="left"/>
              <w:rPr>
                <w:sz w:val="4"/>
                <w:szCs w:val="4"/>
              </w:rPr>
            </w:pPr>
            <w:r>
              <w:rPr>
                <w:sz w:val="4"/>
                <w:szCs w:val="4"/>
              </w:rPr>
            </w:r>
          </w:p>
        </w:tc>
      </w:tr>
      <w:tr>
        <w:trPr/>
        <w:tc>
          <w:tcPr>
            <w:tcW w:w="5154" w:type="dxa"/>
            <w:tcBorders/>
          </w:tcPr>
          <w:p>
            <w:pPr>
              <w:pStyle w:val="TableContents"/>
              <w:bidi w:val="0"/>
              <w:spacing w:before="0" w:after="283"/>
              <w:jc w:val="center"/>
              <w:rPr>
                <w:b/>
              </w:rPr>
            </w:pPr>
            <w:r>
              <w:rPr>
                <w:b/>
              </w:rPr>
              <w:t>Delaware</w:t>
            </w:r>
          </w:p>
        </w:tc>
        <w:tc>
          <w:tcPr>
            <w:tcW w:w="102" w:type="dxa"/>
            <w:tcBorders/>
            <w:vAlign w:val="bottom"/>
          </w:tcPr>
          <w:p>
            <w:pPr>
              <w:pStyle w:val="TableContents"/>
              <w:bidi w:val="0"/>
              <w:spacing w:before="0" w:after="283"/>
              <w:jc w:val="left"/>
              <w:rPr/>
            </w:pPr>
            <w:r>
              <w:rPr/>
              <w:t> </w:t>
            </w:r>
          </w:p>
        </w:tc>
        <w:tc>
          <w:tcPr>
            <w:tcW w:w="4949" w:type="dxa"/>
            <w:tcBorders/>
          </w:tcPr>
          <w:p>
            <w:pPr>
              <w:pStyle w:val="TableContents"/>
              <w:bidi w:val="0"/>
              <w:spacing w:before="0" w:after="283"/>
              <w:jc w:val="center"/>
              <w:rPr>
                <w:b/>
              </w:rPr>
            </w:pPr>
            <w:r>
              <w:rPr>
                <w:b/>
              </w:rPr>
              <w:t>83-2193635</w:t>
            </w:r>
          </w:p>
        </w:tc>
      </w:tr>
      <w:tr>
        <w:trPr/>
        <w:tc>
          <w:tcPr>
            <w:tcW w:w="5154" w:type="dxa"/>
            <w:tcBorders/>
          </w:tcPr>
          <w:p>
            <w:pPr>
              <w:pStyle w:val="TableContents"/>
              <w:bidi w:val="0"/>
              <w:spacing w:before="0" w:after="283"/>
              <w:jc w:val="center"/>
              <w:rPr>
                <w:b/>
              </w:rPr>
            </w:pPr>
            <w:r>
              <w:rPr>
                <w:b/>
              </w:rPr>
              <w:t>(State or other jurisdiction of incorporation or organization)</w:t>
            </w:r>
          </w:p>
        </w:tc>
        <w:tc>
          <w:tcPr>
            <w:tcW w:w="102" w:type="dxa"/>
            <w:tcBorders/>
            <w:vAlign w:val="bottom"/>
          </w:tcPr>
          <w:p>
            <w:pPr>
              <w:pStyle w:val="TableContents"/>
              <w:bidi w:val="0"/>
              <w:spacing w:before="0" w:after="283"/>
              <w:jc w:val="left"/>
              <w:rPr/>
            </w:pPr>
            <w:r>
              <w:rPr/>
              <w:t> </w:t>
            </w:r>
          </w:p>
        </w:tc>
        <w:tc>
          <w:tcPr>
            <w:tcW w:w="4949" w:type="dxa"/>
            <w:tcBorders/>
          </w:tcPr>
          <w:p>
            <w:pPr>
              <w:pStyle w:val="TableContents"/>
              <w:bidi w:val="0"/>
              <w:spacing w:before="0" w:after="283"/>
              <w:jc w:val="center"/>
              <w:rPr>
                <w:b/>
              </w:rPr>
            </w:pPr>
            <w:r>
              <w:rPr>
                <w:b/>
              </w:rPr>
              <w:t>(I.R.S. Employer Identification No.)</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154"/>
        <w:gridCol w:w="103"/>
        <w:gridCol w:w="4948"/>
      </w:tblGrid>
      <w:tr>
        <w:trPr/>
        <w:tc>
          <w:tcPr>
            <w:tcW w:w="5154" w:type="dxa"/>
            <w:tcBorders/>
            <w:vAlign w:val="center"/>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sz w:val="4"/>
                <w:szCs w:val="4"/>
              </w:rPr>
            </w:pPr>
            <w:r>
              <w:rPr>
                <w:sz w:val="4"/>
                <w:szCs w:val="4"/>
              </w:rPr>
            </w:r>
          </w:p>
        </w:tc>
        <w:tc>
          <w:tcPr>
            <w:tcW w:w="4948" w:type="dxa"/>
            <w:tcBorders/>
            <w:vAlign w:val="center"/>
          </w:tcPr>
          <w:p>
            <w:pPr>
              <w:pStyle w:val="TableContents"/>
              <w:bidi w:val="0"/>
              <w:spacing w:before="0" w:after="283"/>
              <w:jc w:val="left"/>
              <w:rPr>
                <w:sz w:val="4"/>
                <w:szCs w:val="4"/>
              </w:rPr>
            </w:pPr>
            <w:r>
              <w:rPr>
                <w:sz w:val="4"/>
                <w:szCs w:val="4"/>
              </w:rPr>
            </w:r>
          </w:p>
        </w:tc>
      </w:tr>
      <w:tr>
        <w:trPr/>
        <w:tc>
          <w:tcPr>
            <w:tcW w:w="5154" w:type="dxa"/>
            <w:tcBorders/>
          </w:tcPr>
          <w:p>
            <w:pPr>
              <w:pStyle w:val="TableContents"/>
              <w:bidi w:val="0"/>
              <w:spacing w:before="0" w:after="0"/>
              <w:jc w:val="center"/>
              <w:rPr>
                <w:rFonts w:ascii="Times New Roman" w:hAnsi="Times New Roman"/>
                <w:b/>
                <w:sz w:val="20"/>
              </w:rPr>
            </w:pPr>
            <w:r>
              <w:rPr>
                <w:rFonts w:ascii="Times New Roman" w:hAnsi="Times New Roman"/>
                <w:b/>
                <w:sz w:val="20"/>
              </w:rPr>
              <w:t>230 E Grand Avenue</w:t>
            </w:r>
          </w:p>
          <w:p>
            <w:pPr>
              <w:pStyle w:val="TableContents"/>
              <w:bidi w:val="0"/>
              <w:spacing w:before="0" w:after="0"/>
              <w:jc w:val="center"/>
              <w:rPr>
                <w:rFonts w:ascii="Times New Roman" w:hAnsi="Times New Roman"/>
                <w:b/>
                <w:sz w:val="20"/>
              </w:rPr>
            </w:pPr>
            <w:r>
              <w:rPr>
                <w:rFonts w:ascii="Times New Roman" w:hAnsi="Times New Roman"/>
                <w:b/>
                <w:sz w:val="20"/>
              </w:rPr>
              <w:t>Suite S-100</w:t>
            </w:r>
          </w:p>
          <w:p>
            <w:pPr>
              <w:pStyle w:val="TableContents"/>
              <w:bidi w:val="0"/>
              <w:spacing w:before="0" w:after="20"/>
              <w:jc w:val="center"/>
              <w:rPr>
                <w:rFonts w:ascii="Times New Roman" w:hAnsi="Times New Roman"/>
                <w:b/>
                <w:sz w:val="20"/>
              </w:rPr>
            </w:pPr>
            <w:r>
              <w:rPr>
                <w:rFonts w:ascii="Times New Roman" w:hAnsi="Times New Roman"/>
                <w:b/>
                <w:sz w:val="20"/>
              </w:rPr>
              <w:t>South San Francisco, California</w:t>
            </w:r>
          </w:p>
        </w:tc>
        <w:tc>
          <w:tcPr>
            <w:tcW w:w="103" w:type="dxa"/>
            <w:tcBorders/>
            <w:vAlign w:val="bottom"/>
          </w:tcPr>
          <w:p>
            <w:pPr>
              <w:pStyle w:val="TableContents"/>
              <w:bidi w:val="0"/>
              <w:spacing w:before="0" w:after="283"/>
              <w:jc w:val="left"/>
              <w:rPr/>
            </w:pPr>
            <w:r>
              <w:rPr/>
              <w:t> </w:t>
            </w:r>
          </w:p>
        </w:tc>
        <w:tc>
          <w:tcPr>
            <w:tcW w:w="4948" w:type="dxa"/>
            <w:tcBorders/>
            <w:vAlign w:val="bottom"/>
          </w:tcPr>
          <w:p>
            <w:pPr>
              <w:pStyle w:val="TableContents"/>
              <w:bidi w:val="0"/>
              <w:spacing w:before="0" w:after="283"/>
              <w:jc w:val="center"/>
              <w:rPr>
                <w:b/>
              </w:rPr>
            </w:pPr>
            <w:r>
              <w:rPr>
                <w:b/>
              </w:rPr>
              <w:t>94080</w:t>
            </w:r>
          </w:p>
        </w:tc>
      </w:tr>
      <w:tr>
        <w:trPr/>
        <w:tc>
          <w:tcPr>
            <w:tcW w:w="5154" w:type="dxa"/>
            <w:tcBorders/>
          </w:tcPr>
          <w:p>
            <w:pPr>
              <w:pStyle w:val="TableContents"/>
              <w:bidi w:val="0"/>
              <w:spacing w:before="0" w:after="283"/>
              <w:jc w:val="center"/>
              <w:rPr>
                <w:b/>
              </w:rPr>
            </w:pPr>
            <w:r>
              <w:rPr>
                <w:b/>
              </w:rPr>
              <w:t>(Address of principal executive offices)</w:t>
            </w:r>
          </w:p>
        </w:tc>
        <w:tc>
          <w:tcPr>
            <w:tcW w:w="103" w:type="dxa"/>
            <w:tcBorders/>
            <w:vAlign w:val="bottom"/>
          </w:tcPr>
          <w:p>
            <w:pPr>
              <w:pStyle w:val="TableContents"/>
              <w:bidi w:val="0"/>
              <w:spacing w:before="0" w:after="283"/>
              <w:jc w:val="left"/>
              <w:rPr/>
            </w:pPr>
            <w:r>
              <w:rPr/>
              <w:t> </w:t>
            </w:r>
          </w:p>
        </w:tc>
        <w:tc>
          <w:tcPr>
            <w:tcW w:w="4948" w:type="dxa"/>
            <w:tcBorders/>
          </w:tcPr>
          <w:p>
            <w:pPr>
              <w:pStyle w:val="TableContents"/>
              <w:bidi w:val="0"/>
              <w:spacing w:before="0" w:after="283"/>
              <w:jc w:val="center"/>
              <w:rPr>
                <w:b/>
              </w:rPr>
            </w:pPr>
            <w:r>
              <w:rPr>
                <w:b/>
              </w:rPr>
              <w:t>(Zip Code)</w:t>
            </w:r>
          </w:p>
        </w:tc>
      </w:tr>
    </w:tbl>
    <w:p>
      <w:pPr>
        <w:pStyle w:val="TextBody"/>
        <w:bidi w:val="0"/>
        <w:spacing w:before="240" w:after="0"/>
        <w:jc w:val="center"/>
        <w:rPr>
          <w:rFonts w:ascii="Times New Roman" w:hAnsi="Times New Roman"/>
          <w:b/>
          <w:sz w:val="20"/>
        </w:rPr>
      </w:pPr>
      <w:r>
        <w:rPr>
          <w:rFonts w:ascii="Times New Roman" w:hAnsi="Times New Roman"/>
          <w:b/>
          <w:sz w:val="20"/>
        </w:rPr>
        <w:t xml:space="preserve">Securities to be registered pursuant to Section 12(b) of the Act: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153"/>
        <w:gridCol w:w="103"/>
        <w:gridCol w:w="4949"/>
      </w:tblGrid>
      <w:tr>
        <w:trPr/>
        <w:tc>
          <w:tcPr>
            <w:tcW w:w="5153" w:type="dxa"/>
            <w:tcBorders/>
            <w:vAlign w:val="center"/>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sz w:val="4"/>
                <w:szCs w:val="4"/>
              </w:rPr>
            </w:pPr>
            <w:r>
              <w:rPr>
                <w:sz w:val="4"/>
                <w:szCs w:val="4"/>
              </w:rPr>
            </w:r>
          </w:p>
        </w:tc>
        <w:tc>
          <w:tcPr>
            <w:tcW w:w="4949" w:type="dxa"/>
            <w:tcBorders/>
            <w:vAlign w:val="center"/>
          </w:tcPr>
          <w:p>
            <w:pPr>
              <w:pStyle w:val="TableContents"/>
              <w:bidi w:val="0"/>
              <w:spacing w:before="0" w:after="283"/>
              <w:jc w:val="left"/>
              <w:rPr>
                <w:sz w:val="4"/>
                <w:szCs w:val="4"/>
              </w:rPr>
            </w:pPr>
            <w:r>
              <w:rPr>
                <w:sz w:val="4"/>
                <w:szCs w:val="4"/>
              </w:rPr>
            </w:r>
          </w:p>
        </w:tc>
      </w:tr>
      <w:tr>
        <w:trPr/>
        <w:tc>
          <w:tcPr>
            <w:tcW w:w="5153" w:type="dxa"/>
            <w:tcBorders/>
            <w:vAlign w:val="bottom"/>
          </w:tcPr>
          <w:p>
            <w:pPr>
              <w:pStyle w:val="TableContents"/>
              <w:bidi w:val="0"/>
              <w:spacing w:before="0" w:after="0"/>
              <w:jc w:val="center"/>
              <w:rPr>
                <w:rFonts w:ascii="Times New Roman" w:hAnsi="Times New Roman"/>
                <w:b/>
                <w:sz w:val="16"/>
              </w:rPr>
            </w:pPr>
            <w:r>
              <w:rPr>
                <w:rFonts w:ascii="Times New Roman" w:hAnsi="Times New Roman"/>
                <w:b/>
                <w:sz w:val="16"/>
              </w:rPr>
              <w:t>Title of each class</w:t>
            </w:r>
          </w:p>
          <w:p>
            <w:pPr>
              <w:pStyle w:val="TableContents"/>
              <w:pBdr>
                <w:bottom w:val="single" w:sz="8" w:space="1" w:color="000000"/>
              </w:pBdr>
              <w:bidi w:val="0"/>
              <w:spacing w:before="0" w:after="20"/>
              <w:jc w:val="center"/>
              <w:rPr>
                <w:rFonts w:ascii="Times New Roman" w:hAnsi="Times New Roman"/>
                <w:b/>
                <w:sz w:val="16"/>
              </w:rPr>
            </w:pPr>
            <w:r>
              <w:rPr>
                <w:rFonts w:ascii="Times New Roman" w:hAnsi="Times New Roman"/>
                <w:b/>
                <w:sz w:val="16"/>
              </w:rPr>
              <w:t>to be so registered</w:t>
            </w:r>
          </w:p>
        </w:tc>
        <w:tc>
          <w:tcPr>
            <w:tcW w:w="103" w:type="dxa"/>
            <w:tcBorders/>
            <w:vAlign w:val="bottom"/>
          </w:tcPr>
          <w:p>
            <w:pPr>
              <w:pStyle w:val="TableContents"/>
              <w:bidi w:val="0"/>
              <w:spacing w:before="0" w:after="283"/>
              <w:jc w:val="left"/>
              <w:rPr/>
            </w:pPr>
            <w:r>
              <w:rPr/>
              <w:t> </w:t>
            </w:r>
          </w:p>
        </w:tc>
        <w:tc>
          <w:tcPr>
            <w:tcW w:w="4949" w:type="dxa"/>
            <w:tcBorders/>
            <w:vAlign w:val="bottom"/>
          </w:tcPr>
          <w:p>
            <w:pPr>
              <w:pStyle w:val="TableContents"/>
              <w:bidi w:val="0"/>
              <w:spacing w:before="0" w:after="0"/>
              <w:jc w:val="center"/>
              <w:rPr>
                <w:rFonts w:ascii="Times New Roman" w:hAnsi="Times New Roman"/>
                <w:b/>
                <w:sz w:val="16"/>
              </w:rPr>
            </w:pPr>
            <w:r>
              <w:rPr>
                <w:rFonts w:ascii="Times New Roman" w:hAnsi="Times New Roman"/>
                <w:b/>
                <w:sz w:val="16"/>
              </w:rPr>
              <w:t>Name of exchange on which</w:t>
            </w:r>
          </w:p>
          <w:p>
            <w:pPr>
              <w:pStyle w:val="TableContents"/>
              <w:pBdr>
                <w:bottom w:val="single" w:sz="8" w:space="1" w:color="000000"/>
              </w:pBdr>
              <w:bidi w:val="0"/>
              <w:spacing w:before="0" w:after="20"/>
              <w:jc w:val="center"/>
              <w:rPr>
                <w:rFonts w:ascii="Times New Roman" w:hAnsi="Times New Roman"/>
                <w:b/>
                <w:sz w:val="16"/>
              </w:rPr>
            </w:pPr>
            <w:r>
              <w:rPr>
                <w:rFonts w:ascii="Times New Roman" w:hAnsi="Times New Roman"/>
                <w:b/>
                <w:sz w:val="16"/>
              </w:rPr>
              <w:t>each class is to be registered</w:t>
            </w:r>
          </w:p>
        </w:tc>
      </w:tr>
      <w:tr>
        <w:trPr/>
        <w:tc>
          <w:tcPr>
            <w:tcW w:w="5153" w:type="dxa"/>
            <w:tcBorders/>
          </w:tcPr>
          <w:p>
            <w:pPr>
              <w:pStyle w:val="TableContents"/>
              <w:bidi w:val="0"/>
              <w:spacing w:before="0" w:after="283"/>
              <w:jc w:val="center"/>
              <w:rPr>
                <w:b/>
              </w:rPr>
            </w:pPr>
            <w:r>
              <w:rPr>
                <w:b/>
              </w:rPr>
              <w:t>Common Stock, $0.0001 par value per share</w:t>
            </w:r>
          </w:p>
        </w:tc>
        <w:tc>
          <w:tcPr>
            <w:tcW w:w="103" w:type="dxa"/>
            <w:tcBorders/>
            <w:vAlign w:val="bottom"/>
          </w:tcPr>
          <w:p>
            <w:pPr>
              <w:pStyle w:val="TableContents"/>
              <w:bidi w:val="0"/>
              <w:spacing w:before="0" w:after="283"/>
              <w:jc w:val="left"/>
              <w:rPr/>
            </w:pPr>
            <w:r>
              <w:rPr/>
              <w:t> </w:t>
            </w:r>
          </w:p>
        </w:tc>
        <w:tc>
          <w:tcPr>
            <w:tcW w:w="4949" w:type="dxa"/>
            <w:tcBorders/>
          </w:tcPr>
          <w:p>
            <w:pPr>
              <w:pStyle w:val="TableContents"/>
              <w:bidi w:val="0"/>
              <w:spacing w:before="0" w:after="283"/>
              <w:jc w:val="center"/>
              <w:rPr>
                <w:b/>
              </w:rPr>
            </w:pPr>
            <w:r>
              <w:rPr>
                <w:b/>
              </w:rPr>
              <w:t>The Nasdaq Stock Market LLC</w:t>
            </w:r>
          </w:p>
        </w:tc>
      </w:tr>
    </w:tbl>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sz w:val="20"/>
        </w:rPr>
        <w:t xml:space="preserve">If this form relates to the registration of a class of securities pursuant to Section 12(b) of the Exchange Act and is effective pursuant to General Instruction A.(c) or (e), check the following box. ☒ </w:t>
      </w:r>
    </w:p>
    <w:p>
      <w:pPr>
        <w:pStyle w:val="TextBody"/>
        <w:bidi w:val="0"/>
        <w:spacing w:before="240" w:after="0"/>
        <w:jc w:val="left"/>
        <w:rPr>
          <w:rFonts w:ascii="Times New Roman" w:hAnsi="Times New Roman"/>
          <w:sz w:val="20"/>
        </w:rPr>
      </w:pPr>
      <w:r>
        <w:rPr>
          <w:rFonts w:ascii="Times New Roman" w:hAnsi="Times New Roman"/>
          <w:sz w:val="20"/>
        </w:rPr>
        <w:t xml:space="preserve">If this form relates to the registration of a class of securities pursuant to Section 12(g) of the Exchange Act and is effective pursuant to General Instruction A.(d) or (e), check the following box. ☐ </w:t>
      </w:r>
    </w:p>
    <w:p>
      <w:pPr>
        <w:pStyle w:val="TextBody"/>
        <w:bidi w:val="0"/>
        <w:spacing w:before="240" w:after="0"/>
        <w:jc w:val="left"/>
        <w:rPr>
          <w:rFonts w:ascii="Times New Roman" w:hAnsi="Times New Roman"/>
          <w:sz w:val="20"/>
        </w:rPr>
      </w:pPr>
      <w:r>
        <w:rPr>
          <w:rFonts w:ascii="Times New Roman" w:hAnsi="Times New Roman"/>
          <w:sz w:val="20"/>
        </w:rPr>
        <w:t xml:space="preserve">If this form relates to the registration of a class of securities concurrently with a Regulation A offering, check the following box. ☐ </w:t>
      </w:r>
    </w:p>
    <w:p>
      <w:pPr>
        <w:pStyle w:val="TextBody"/>
        <w:bidi w:val="0"/>
        <w:spacing w:before="240" w:after="0"/>
        <w:jc w:val="center"/>
        <w:rPr>
          <w:rFonts w:ascii="Times New Roman" w:hAnsi="Times New Roman"/>
          <w:b/>
          <w:sz w:val="20"/>
        </w:rPr>
      </w:pPr>
      <w:r>
        <w:rPr>
          <w:rFonts w:ascii="Times New Roman" w:hAnsi="Times New Roman"/>
          <w:b/>
          <w:sz w:val="20"/>
        </w:rPr>
        <w:t xml:space="preserve">Securities Act registration statement file number to which this form relates: </w:t>
      </w:r>
    </w:p>
    <w:p>
      <w:pPr>
        <w:pStyle w:val="TextBody"/>
        <w:bidi w:val="0"/>
        <w:spacing w:before="0" w:after="0"/>
        <w:jc w:val="center"/>
        <w:rPr>
          <w:rFonts w:ascii="Times New Roman" w:hAnsi="Times New Roman"/>
          <w:b/>
          <w:sz w:val="20"/>
        </w:rPr>
      </w:pPr>
      <w:r>
        <w:rPr>
          <w:rFonts w:ascii="Times New Roman" w:hAnsi="Times New Roman"/>
          <w:b/>
          <w:sz w:val="20"/>
        </w:rPr>
        <w:t xml:space="preserve">333-298617 </w:t>
      </w:r>
    </w:p>
    <w:p>
      <w:pPr>
        <w:pStyle w:val="TextBody"/>
        <w:bidi w:val="0"/>
        <w:spacing w:before="240" w:after="0"/>
        <w:jc w:val="center"/>
        <w:rPr>
          <w:rFonts w:ascii="Times New Roman" w:hAnsi="Times New Roman"/>
          <w:b/>
          <w:sz w:val="20"/>
        </w:rPr>
      </w:pPr>
      <w:r>
        <w:rPr>
          <w:rFonts w:ascii="Times New Roman" w:hAnsi="Times New Roman"/>
          <w:b/>
          <w:sz w:val="20"/>
        </w:rPr>
        <w:t xml:space="preserve">Securities to be registered pursuant to Section 12(g) of the Act: </w:t>
      </w:r>
    </w:p>
    <w:p>
      <w:pPr>
        <w:pStyle w:val="TextBody"/>
        <w:bidi w:val="0"/>
        <w:spacing w:before="0" w:after="0"/>
        <w:jc w:val="center"/>
        <w:rPr>
          <w:rFonts w:ascii="Times New Roman" w:hAnsi="Times New Roman"/>
          <w:b/>
          <w:sz w:val="20"/>
        </w:rPr>
      </w:pPr>
      <w:r>
        <w:rPr>
          <w:rFonts w:ascii="Times New Roman" w:hAnsi="Times New Roman"/>
          <w:b/>
          <w:sz w:val="20"/>
        </w:rPr>
        <w:t xml:space="preserve">None </w:t>
      </w:r>
    </w:p>
    <w:p>
      <w:pPr>
        <w:pStyle w:val="TextBody"/>
        <w:bidi w:val="0"/>
        <w:spacing w:before="0" w:after="0"/>
        <w:jc w:val="center"/>
        <w:rPr>
          <w:rFonts w:ascii="Times New Roman" w:hAnsi="Times New Roman"/>
          <w:b/>
          <w:sz w:val="16"/>
        </w:rPr>
      </w:pPr>
      <w:r>
        <w:rPr>
          <w:rFonts w:ascii="Times New Roman" w:hAnsi="Times New Roman"/>
          <w:b/>
          <w:sz w:val="16"/>
        </w:rPr>
        <w:t xml:space="preserve">(Title of class)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Item 1. Description of Registrant’s Securities to be Registered. </w:t>
      </w:r>
    </w:p>
    <w:p>
      <w:pPr>
        <w:pStyle w:val="TextBody"/>
        <w:bidi w:val="0"/>
        <w:spacing w:before="120" w:after="0"/>
        <w:jc w:val="left"/>
        <w:rPr>
          <w:rFonts w:ascii="Times New Roman" w:hAnsi="Times New Roman"/>
          <w:sz w:val="20"/>
        </w:rPr>
      </w:pPr>
      <w:r>
        <w:rPr>
          <w:rFonts w:ascii="Times New Roman" w:hAnsi="Times New Roman"/>
          <w:sz w:val="20"/>
        </w:rPr>
        <w:t xml:space="preserve">A description of the common stock, $0.0001 par value per share, of Electra Therapeutics, Inc., a Delaware corporation (the “Registrant”), to be registered hereunder is contained in the section titled “Description of Capital Stock” in the prospectus included in the Registrant’s Registration Statement on Form S-1 (File No. 333-298617), initially filed with the Securities and Exchange Commission (the “Commission”) on August 28, 2026, as subsequently amended from time to time (the “Registration Statement”), and is incorporated herein by reference. Any form of prospectus subsequently filed by the Registrant with the Commission pursuant to Rule 424(b) under the Securities Act of 1933, as amended, that constitutes part of the Registration Statement shall be deemed to be incorporated herein by reference. </w:t>
      </w:r>
    </w:p>
    <w:p>
      <w:pPr>
        <w:pStyle w:val="TextBody"/>
        <w:bidi w:val="0"/>
        <w:spacing w:before="360" w:after="0"/>
        <w:jc w:val="left"/>
        <w:rPr>
          <w:rFonts w:ascii="Times New Roman" w:hAnsi="Times New Roman"/>
          <w:b/>
          <w:sz w:val="20"/>
        </w:rPr>
      </w:pPr>
      <w:r>
        <w:rPr>
          <w:rFonts w:ascii="Times New Roman" w:hAnsi="Times New Roman"/>
          <w:b/>
          <w:sz w:val="20"/>
        </w:rPr>
        <w:t xml:space="preserve">Item 2. Exhibits. </w:t>
      </w:r>
    </w:p>
    <w:p>
      <w:pPr>
        <w:pStyle w:val="TextBody"/>
        <w:bidi w:val="0"/>
        <w:spacing w:before="120" w:after="0"/>
        <w:jc w:val="left"/>
        <w:rPr>
          <w:rFonts w:ascii="Times New Roman" w:hAnsi="Times New Roman"/>
          <w:sz w:val="20"/>
        </w:rPr>
      </w:pPr>
      <w:r>
        <w:rPr>
          <w:rFonts w:ascii="Times New Roman" w:hAnsi="Times New Roman"/>
          <w:sz w:val="20"/>
        </w:rPr>
        <w:t xml:space="preserve">Under the “Instructions as to Exhibits” with respect to Form 8-A, no exhibits are required to be filed with this registration statement because no other securities of the Registrant are registered on The Nasdaq Stock Market LLC and the securities registered hereby are not being registered pursuant to Section 12(g) of the Securities Exchange Act of 1934, as amended. </w:t>
      </w:r>
    </w:p>
    <w:p>
      <w:pPr>
        <w:pStyle w:val="TextBody"/>
        <w:bidi w:val="0"/>
        <w:spacing w:before="480" w:after="0"/>
        <w:jc w:val="center"/>
        <w:rPr>
          <w:rFonts w:ascii="Times New Roman" w:hAnsi="Times New Roman"/>
          <w:b/>
          <w:sz w:val="20"/>
        </w:rPr>
      </w:pPr>
      <w:r>
        <w:rPr>
          <w:rFonts w:ascii="Times New Roman" w:hAnsi="Times New Roman"/>
          <w:b/>
          <w:sz w:val="20"/>
        </w:rPr>
        <w:t xml:space="preserve">SIGNATURE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Section 12 of the Securities Exchange Act of 1934, as amended, the Registrant has duly caused this registration statement to be signed on its behalf by the undersigned, thereto duly authorized.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460"/>
        <w:gridCol w:w="109"/>
        <w:gridCol w:w="391"/>
        <w:gridCol w:w="109"/>
        <w:gridCol w:w="365"/>
        <w:gridCol w:w="109"/>
        <w:gridCol w:w="4662"/>
      </w:tblGrid>
      <w:tr>
        <w:trPr/>
        <w:tc>
          <w:tcPr>
            <w:tcW w:w="4460" w:type="dxa"/>
            <w:tcBorders/>
            <w:vAlign w:val="center"/>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sz w:val="4"/>
                <w:szCs w:val="4"/>
              </w:rPr>
            </w:pPr>
            <w:r>
              <w:rPr>
                <w:sz w:val="4"/>
                <w:szCs w:val="4"/>
              </w:rPr>
            </w:r>
          </w:p>
        </w:tc>
        <w:tc>
          <w:tcPr>
            <w:tcW w:w="4662" w:type="dxa"/>
            <w:tcBorders/>
            <w:vAlign w:val="center"/>
          </w:tcPr>
          <w:p>
            <w:pPr>
              <w:pStyle w:val="TableContents"/>
              <w:bidi w:val="0"/>
              <w:spacing w:before="0" w:after="283"/>
              <w:jc w:val="left"/>
              <w:rPr>
                <w:sz w:val="4"/>
                <w:szCs w:val="4"/>
              </w:rPr>
            </w:pPr>
            <w:r>
              <w:rPr>
                <w:sz w:val="4"/>
                <w:szCs w:val="4"/>
              </w:rPr>
            </w:r>
          </w:p>
        </w:tc>
      </w:tr>
      <w:tr>
        <w:trPr/>
        <w:tc>
          <w:tcPr>
            <w:tcW w:w="4460" w:type="dxa"/>
            <w:tcBorders/>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pPr>
            <w:r>
              <w:rPr/>
              <w:t> </w:t>
            </w:r>
          </w:p>
        </w:tc>
        <w:tc>
          <w:tcPr>
            <w:tcW w:w="391" w:type="dxa"/>
            <w:tcBorders/>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pPr>
            <w:r>
              <w:rPr/>
              <w:t> </w:t>
            </w:r>
          </w:p>
        </w:tc>
        <w:tc>
          <w:tcPr>
            <w:tcW w:w="5136" w:type="dxa"/>
            <w:gridSpan w:val="3"/>
            <w:tcBorders/>
          </w:tcPr>
          <w:p>
            <w:pPr>
              <w:pStyle w:val="TableContents"/>
              <w:bidi w:val="0"/>
              <w:spacing w:before="0" w:after="283"/>
              <w:jc w:val="left"/>
              <w:rPr/>
            </w:pPr>
            <w:r>
              <w:rPr/>
              <w:t>ELECTRA THERAPEUTICS, INC.</w:t>
            </w:r>
          </w:p>
        </w:tc>
      </w:tr>
      <w:tr>
        <w:trPr>
          <w:trHeight w:val="240" w:hRule="atLeast"/>
        </w:trPr>
        <w:tc>
          <w:tcPr>
            <w:tcW w:w="4460" w:type="dxa"/>
            <w:tcBorders/>
            <w:vAlign w:val="center"/>
          </w:tcPr>
          <w:p>
            <w:pPr>
              <w:pStyle w:val="TableContents"/>
              <w:bidi w:val="0"/>
              <w:spacing w:before="0" w:after="283"/>
              <w:jc w:val="left"/>
              <w:rPr>
                <w:sz w:val="4"/>
                <w:szCs w:val="4"/>
              </w:rPr>
            </w:pPr>
            <w:r>
              <w:rPr>
                <w:sz w:val="4"/>
                <w:szCs w:val="4"/>
              </w:rPr>
            </w:r>
          </w:p>
        </w:tc>
        <w:tc>
          <w:tcPr>
            <w:tcW w:w="500" w:type="dxa"/>
            <w:gridSpan w:val="2"/>
            <w:tcBorders/>
            <w:vAlign w:val="center"/>
          </w:tcPr>
          <w:p>
            <w:pPr>
              <w:pStyle w:val="TableContents"/>
              <w:bidi w:val="0"/>
              <w:spacing w:before="0" w:after="283"/>
              <w:jc w:val="left"/>
              <w:rPr>
                <w:sz w:val="4"/>
                <w:szCs w:val="4"/>
              </w:rPr>
            </w:pPr>
            <w:r>
              <w:rPr>
                <w:sz w:val="4"/>
                <w:szCs w:val="4"/>
              </w:rPr>
            </w:r>
          </w:p>
        </w:tc>
        <w:tc>
          <w:tcPr>
            <w:tcW w:w="474" w:type="dxa"/>
            <w:gridSpan w:val="2"/>
            <w:tcBorders/>
            <w:vAlign w:val="center"/>
          </w:tcPr>
          <w:p>
            <w:pPr>
              <w:pStyle w:val="TableContents"/>
              <w:bidi w:val="0"/>
              <w:spacing w:before="0" w:after="283"/>
              <w:jc w:val="left"/>
              <w:rPr>
                <w:sz w:val="4"/>
                <w:szCs w:val="4"/>
              </w:rPr>
            </w:pPr>
            <w:r>
              <w:rPr>
                <w:sz w:val="4"/>
                <w:szCs w:val="4"/>
              </w:rPr>
            </w:r>
          </w:p>
        </w:tc>
        <w:tc>
          <w:tcPr>
            <w:tcW w:w="4771" w:type="dxa"/>
            <w:gridSpan w:val="2"/>
            <w:tcBorders/>
            <w:vAlign w:val="center"/>
          </w:tcPr>
          <w:p>
            <w:pPr>
              <w:pStyle w:val="TableContents"/>
              <w:bidi w:val="0"/>
              <w:spacing w:before="0" w:after="283"/>
              <w:jc w:val="left"/>
              <w:rPr>
                <w:sz w:val="4"/>
                <w:szCs w:val="4"/>
              </w:rPr>
            </w:pPr>
            <w:r>
              <w:rPr>
                <w:sz w:val="4"/>
                <w:szCs w:val="4"/>
              </w:rPr>
            </w:r>
          </w:p>
        </w:tc>
      </w:tr>
      <w:tr>
        <w:trPr/>
        <w:tc>
          <w:tcPr>
            <w:tcW w:w="4460" w:type="dxa"/>
            <w:tcBorders/>
          </w:tcPr>
          <w:p>
            <w:pPr>
              <w:pStyle w:val="TableContents"/>
              <w:bidi w:val="0"/>
              <w:spacing w:before="0" w:after="283"/>
              <w:jc w:val="left"/>
              <w:rPr/>
            </w:pPr>
            <w:r>
              <w:rPr/>
              <w:t>Date: September 18, 2026</w:t>
            </w:r>
          </w:p>
        </w:tc>
        <w:tc>
          <w:tcPr>
            <w:tcW w:w="109" w:type="dxa"/>
            <w:tcBorders/>
            <w:vAlign w:val="bottom"/>
          </w:tcPr>
          <w:p>
            <w:pPr>
              <w:pStyle w:val="TableContents"/>
              <w:bidi w:val="0"/>
              <w:spacing w:before="0" w:after="283"/>
              <w:jc w:val="left"/>
              <w:rPr/>
            </w:pPr>
            <w:r>
              <w:rPr/>
              <w:t> </w:t>
            </w:r>
          </w:p>
        </w:tc>
        <w:tc>
          <w:tcPr>
            <w:tcW w:w="391" w:type="dxa"/>
            <w:tcBorders/>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pPr>
            <w:r>
              <w:rPr/>
              <w:t> </w:t>
            </w:r>
          </w:p>
        </w:tc>
        <w:tc>
          <w:tcPr>
            <w:tcW w:w="365" w:type="dxa"/>
            <w:tcBorders/>
          </w:tcPr>
          <w:p>
            <w:pPr>
              <w:pStyle w:val="TableContents"/>
              <w:bidi w:val="0"/>
              <w:spacing w:before="0" w:after="283"/>
              <w:jc w:val="left"/>
              <w:rPr/>
            </w:pPr>
            <w:r>
              <w:rPr/>
              <w:t>By:</w:t>
            </w:r>
          </w:p>
        </w:tc>
        <w:tc>
          <w:tcPr>
            <w:tcW w:w="109" w:type="dxa"/>
            <w:tcBorders>
              <w:bottom w:val="single" w:sz="2" w:space="0" w:color="000000"/>
            </w:tcBorders>
            <w:tcMar>
              <w:bottom w:w="28" w:type="dxa"/>
            </w:tcMar>
            <w:vAlign w:val="bottom"/>
          </w:tcPr>
          <w:p>
            <w:pPr>
              <w:pStyle w:val="TableContents"/>
              <w:bidi w:val="0"/>
              <w:spacing w:before="0" w:after="283"/>
              <w:jc w:val="left"/>
              <w:rPr/>
            </w:pPr>
            <w:r>
              <w:rPr/>
              <w:t> </w:t>
            </w:r>
          </w:p>
        </w:tc>
        <w:tc>
          <w:tcPr>
            <w:tcW w:w="4662" w:type="dxa"/>
            <w:tcBorders>
              <w:bottom w:val="single" w:sz="2" w:space="0" w:color="000000"/>
            </w:tcBorders>
            <w:tcMar>
              <w:bottom w:w="28" w:type="dxa"/>
            </w:tcMar>
          </w:tcPr>
          <w:p>
            <w:pPr>
              <w:pStyle w:val="TableContents"/>
              <w:bidi w:val="0"/>
              <w:spacing w:before="0" w:after="283"/>
              <w:jc w:val="left"/>
              <w:rPr/>
            </w:pPr>
            <w:r>
              <w:rPr/>
              <w:t>/s/ Quehuong (Kathy) Dong, Pharm.D., M.B.A.</w:t>
            </w:r>
          </w:p>
        </w:tc>
      </w:tr>
      <w:tr>
        <w:trPr/>
        <w:tc>
          <w:tcPr>
            <w:tcW w:w="4460" w:type="dxa"/>
            <w:tcBorders/>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pPr>
            <w:r>
              <w:rPr/>
              <w:t> </w:t>
            </w:r>
          </w:p>
        </w:tc>
        <w:tc>
          <w:tcPr>
            <w:tcW w:w="391" w:type="dxa"/>
            <w:tcBorders/>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pPr>
            <w:r>
              <w:rPr/>
              <w:t> </w:t>
            </w:r>
          </w:p>
        </w:tc>
        <w:tc>
          <w:tcPr>
            <w:tcW w:w="365" w:type="dxa"/>
            <w:tcBorders/>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pPr>
            <w:r>
              <w:rPr/>
              <w:t> </w:t>
            </w:r>
          </w:p>
        </w:tc>
        <w:tc>
          <w:tcPr>
            <w:tcW w:w="4662" w:type="dxa"/>
            <w:tcBorders/>
          </w:tcPr>
          <w:p>
            <w:pPr>
              <w:pStyle w:val="TableContents"/>
              <w:bidi w:val="0"/>
              <w:spacing w:before="0" w:after="0"/>
              <w:jc w:val="left"/>
              <w:rPr>
                <w:rFonts w:ascii="Times New Roman" w:hAnsi="Times New Roman"/>
                <w:sz w:val="20"/>
              </w:rPr>
            </w:pPr>
            <w:r>
              <w:rPr>
                <w:rFonts w:ascii="Times New Roman" w:hAnsi="Times New Roman"/>
                <w:sz w:val="20"/>
              </w:rPr>
              <w:t>Quehuong (Kathy) Dong, Pharm.D., M.B.A.</w:t>
            </w:r>
          </w:p>
          <w:p>
            <w:pPr>
              <w:pStyle w:val="TableContents"/>
              <w:bidi w:val="0"/>
              <w:spacing w:before="0" w:after="20"/>
              <w:jc w:val="left"/>
              <w:rPr>
                <w:rFonts w:ascii="Times New Roman" w:hAnsi="Times New Roman"/>
                <w:sz w:val="20"/>
              </w:rPr>
            </w:pPr>
            <w:r>
              <w:rPr>
                <w:rFonts w:ascii="Times New Roman" w:hAnsi="Times New Roman"/>
                <w:sz w:val="20"/>
              </w:rPr>
              <w:t>President and Chief Executive Officer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488</Words>
  <Characters>2661</Characters>
  <CharactersWithSpaces>3162</CharactersWithSpaces>
  <Paragraphs>79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8-A12B</dc:title>
</cp:coreProperties>
</file>