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9212026_100932.xml.htm"/>
      <w:bookmarkStart w:id="1" w:name="ksform409212026_10093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Dong Quehuong (Kathy)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ELECTRA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230 E GRAND AVENUE, SUITE S-100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Electra Therapeutics, Inc.</w:t>
              </w:r>
            </w:hyperlink>
            <w:r>
              <w:rPr/>
              <w:t xml:space="preserve"> [ </w:t>
            </w:r>
            <w:r>
              <w:rPr>
                <w:rFonts w:ascii="Times;serif" w:hAnsi="Times;serif"/>
                <w:color w:val="0000FF"/>
                <w:sz w:val="24"/>
                <w:shd w:fill="FFFFFF" w:val="clear"/>
              </w:rPr>
              <w:t>ETRA</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&amp;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64"/>
        <w:gridCol w:w="905"/>
        <w:gridCol w:w="774"/>
        <w:gridCol w:w="601"/>
        <w:gridCol w:w="348"/>
        <w:gridCol w:w="1059"/>
        <w:gridCol w:w="454"/>
        <w:gridCol w:w="616"/>
        <w:gridCol w:w="1163"/>
        <w:gridCol w:w="996"/>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6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2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6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6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09/21/2026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455,484</w:t>
            </w:r>
            <w:r>
              <w:rPr>
                <w:rFonts w:ascii="Times;serif" w:hAnsi="Times;serif"/>
                <w:color w:val="008000"/>
                <w:position w:val="7"/>
                <w:sz w:val="16"/>
                <w:sz w:val="20"/>
                <w:shd w:fill="FFFFFF" w:val="clear"/>
              </w:rPr>
              <w:t>(1)</w:t>
            </w:r>
          </w:p>
        </w:tc>
        <w:tc>
          <w:tcPr>
            <w:tcW w:w="4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1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455,484</w:t>
            </w:r>
          </w:p>
        </w:tc>
        <w:tc>
          <w:tcPr>
            <w:tcW w:w="99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689" w:type="dxa"/>
        <w:jc w:val="left"/>
        <w:tblInd w:w="-7" w:type="dxa"/>
        <w:tblLayout w:type="fixed"/>
        <w:tblCellMar>
          <w:top w:w="60" w:type="dxa"/>
          <w:left w:w="60" w:type="dxa"/>
          <w:bottom w:w="60" w:type="dxa"/>
          <w:right w:w="60" w:type="dxa"/>
        </w:tblCellMar>
      </w:tblPr>
      <w:tblGrid>
        <w:gridCol w:w="1130"/>
        <w:gridCol w:w="861"/>
        <w:gridCol w:w="891"/>
        <w:gridCol w:w="771"/>
        <w:gridCol w:w="591"/>
        <w:gridCol w:w="300"/>
        <w:gridCol w:w="276"/>
        <w:gridCol w:w="876"/>
        <w:gridCol w:w="906"/>
        <w:gridCol w:w="801"/>
        <w:gridCol w:w="891"/>
        <w:gridCol w:w="981"/>
        <w:gridCol w:w="801"/>
        <w:gridCol w:w="936"/>
        <w:gridCol w:w="831"/>
        <w:gridCol w:w="846"/>
      </w:tblGrid>
      <w:tr>
        <w:trPr>
          <w:tblHeader w:val="true"/>
        </w:trPr>
        <w:tc>
          <w:tcPr>
            <w:tcW w:w="1268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13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1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3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3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Series A Convertible Preferred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455,484</w:t>
            </w:r>
            <w:r>
              <w:rPr>
                <w:rFonts w:ascii="Times;serif" w:hAnsi="Times;serif"/>
                <w:color w:val="008000"/>
                <w:position w:val="7"/>
                <w:sz w:val="16"/>
                <w:sz w:val="20"/>
                <w:shd w:fill="FFFFFF" w:val="clear"/>
              </w:rPr>
              <w:t>(1)</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455,484</w:t>
            </w: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73,147 of the shares ("Restricted Shares") shall be subject to vesting as follows: 1/13th of the Restricted Shares shall vest monthly commencing from September 16,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share of Series A Convertible Preferred Stock (the "Preferred Stock") converted automatically into 1 share of Common Stock upon the closing of the Issuer's initial public offering without payment of further consideration. Share numbers give effect to such conversion. The Preferred Stock had no expiration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Jamie Kitano,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53364" TargetMode="External"/><Relationship Id="rId5" Type="http://schemas.openxmlformats.org/officeDocument/2006/relationships/hyperlink" Target="http://www.sec.gov/cgi-bin/browse-edgar?action=getcompany&amp;CIK=000208808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663</Words>
  <Characters>3625</Characters>
  <CharactersWithSpaces>4207</CharactersWithSpaces>
  <Paragraphs>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