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ORBIMED ADVISORS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03" w:lineRule="auto"/>
        <w:rPr>
          <w:sz w:val="20"/>
          <w:szCs w:val="20"/>
          <w:color w:val="auto"/>
        </w:rPr>
      </w:pPr>
      <w:r>
        <w:rPr>
          <w:rFonts w:ascii="Times New Roman" w:cs="Times New Roman" w:eastAsia="Times New Roman" w:hAnsi="Times New Roman"/>
          <w:sz w:val="17"/>
          <w:szCs w:val="17"/>
          <w:color w:val="0000FF"/>
        </w:rPr>
        <w:t>601 LEXINGTON AVENUE 54TH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Electra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ETRA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1"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9"/>
          </w:tcPr>
          <w:p>
            <w:pPr>
              <w:ind w:left="10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4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5"/>
                <w:szCs w:val="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1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2"/>
          </w:tcPr>
          <w:p>
            <w:pPr>
              <w:ind w:left="320"/>
              <w:spacing w:after="0" w:line="146" w:lineRule="exact"/>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5"/>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5"/>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6"/>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5"/>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9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7"/>
                <w:szCs w:val="17"/>
                <w:color w:val="0000FF"/>
              </w:rPr>
              <w:t>11/03/2026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24,313</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5,151,204</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960" w:type="dxa"/>
            <w:vAlign w:val="bottom"/>
            <w:tcBorders>
              <w:top w:val="single" w:sz="8" w:color="2C2C2C"/>
            </w:tcBorders>
            <w:gridSpan w:val="4"/>
            <w:vMerge w:val="restart"/>
          </w:tcPr>
          <w:p>
            <w:pPr>
              <w:jc w:val="right"/>
              <w:ind w:right="459"/>
              <w:spacing w:after="0"/>
              <w:rPr>
                <w:sz w:val="20"/>
                <w:szCs w:val="20"/>
                <w:color w:val="auto"/>
              </w:rPr>
            </w:pPr>
            <w:r>
              <w:rPr>
                <w:rFonts w:ascii="Times New Roman" w:cs="Times New Roman" w:eastAsia="Times New Roman" w:hAnsi="Times New Roman"/>
                <w:sz w:val="17"/>
                <w:szCs w:val="17"/>
                <w:color w:val="0000FF"/>
              </w:rPr>
              <w:t>11/03/2026</w:t>
            </w: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97,800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7.84</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1,856,079</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960" w:type="dxa"/>
            <w:vAlign w:val="bottom"/>
            <w:tcBorders>
              <w:top w:val="single" w:sz="8" w:color="2C2C2C"/>
            </w:tcBorders>
            <w:gridSpan w:val="4"/>
            <w:vMerge w:val="restart"/>
          </w:tcPr>
          <w:p>
            <w:pPr>
              <w:jc w:val="right"/>
              <w:ind w:right="459"/>
              <w:spacing w:after="0"/>
              <w:rPr>
                <w:sz w:val="20"/>
                <w:szCs w:val="20"/>
                <w:color w:val="auto"/>
              </w:rPr>
            </w:pPr>
            <w:r>
              <w:rPr>
                <w:rFonts w:ascii="Times New Roman" w:cs="Times New Roman" w:eastAsia="Times New Roman" w:hAnsi="Times New Roman"/>
                <w:sz w:val="17"/>
                <w:szCs w:val="17"/>
                <w:color w:val="0000FF"/>
              </w:rPr>
              <w:t>11/03/2026</w:t>
            </w: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24,400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7.88</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5,175,604</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960" w:type="dxa"/>
            <w:vAlign w:val="bottom"/>
            <w:tcBorders>
              <w:top w:val="single" w:sz="8" w:color="2C2C2C"/>
            </w:tcBorders>
            <w:gridSpan w:val="4"/>
            <w:vMerge w:val="restart"/>
          </w:tcPr>
          <w:p>
            <w:pPr>
              <w:jc w:val="right"/>
              <w:ind w:right="459"/>
              <w:spacing w:after="0"/>
              <w:rPr>
                <w:sz w:val="20"/>
                <w:szCs w:val="20"/>
                <w:color w:val="auto"/>
              </w:rPr>
            </w:pPr>
            <w:r>
              <w:rPr>
                <w:rFonts w:ascii="Times New Roman" w:cs="Times New Roman" w:eastAsia="Times New Roman" w:hAnsi="Times New Roman"/>
                <w:sz w:val="17"/>
                <w:szCs w:val="17"/>
                <w:color w:val="0000FF"/>
              </w:rPr>
              <w:t>11/03/2026</w:t>
            </w: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98,600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7.88</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1,954,679</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960" w:type="dxa"/>
            <w:vAlign w:val="bottom"/>
            <w:tcBorders>
              <w:top w:val="single" w:sz="8" w:color="2C2C2C"/>
            </w:tcBorders>
            <w:gridSpan w:val="4"/>
            <w:vMerge w:val="restart"/>
          </w:tcPr>
          <w:p>
            <w:pPr>
              <w:jc w:val="right"/>
              <w:ind w:right="459"/>
              <w:spacing w:after="0"/>
              <w:rPr>
                <w:sz w:val="20"/>
                <w:szCs w:val="20"/>
                <w:color w:val="auto"/>
              </w:rPr>
            </w:pPr>
            <w:r>
              <w:rPr>
                <w:rFonts w:ascii="Times New Roman" w:cs="Times New Roman" w:eastAsia="Times New Roman" w:hAnsi="Times New Roman"/>
                <w:sz w:val="17"/>
                <w:szCs w:val="17"/>
                <w:color w:val="0000FF"/>
              </w:rPr>
              <w:t>11/04/2026</w:t>
            </w: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9,267</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7.78</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5,184,871</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960" w:type="dxa"/>
            <w:vAlign w:val="bottom"/>
            <w:tcBorders>
              <w:top w:val="single" w:sz="8" w:color="2C2C2C"/>
            </w:tcBorders>
            <w:gridSpan w:val="4"/>
            <w:vMerge w:val="restart"/>
          </w:tcPr>
          <w:p>
            <w:pPr>
              <w:jc w:val="right"/>
              <w:ind w:right="459"/>
              <w:spacing w:after="0"/>
              <w:rPr>
                <w:sz w:val="20"/>
                <w:szCs w:val="20"/>
                <w:color w:val="auto"/>
              </w:rPr>
            </w:pPr>
            <w:r>
              <w:rPr>
                <w:rFonts w:ascii="Times New Roman" w:cs="Times New Roman" w:eastAsia="Times New Roman" w:hAnsi="Times New Roman"/>
                <w:sz w:val="17"/>
                <w:szCs w:val="17"/>
                <w:color w:val="0000FF"/>
              </w:rPr>
              <w:t>11/04/2026</w:t>
            </w: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37,100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7.78</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1,991,779</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960" w:type="dxa"/>
            <w:vAlign w:val="bottom"/>
            <w:tcBorders>
              <w:top w:val="single" w:sz="8" w:color="2C2C2C"/>
            </w:tcBorders>
            <w:gridSpan w:val="4"/>
            <w:vMerge w:val="restart"/>
          </w:tcPr>
          <w:p>
            <w:pPr>
              <w:jc w:val="right"/>
              <w:ind w:right="459"/>
              <w:spacing w:after="0"/>
              <w:rPr>
                <w:sz w:val="20"/>
                <w:szCs w:val="20"/>
                <w:color w:val="auto"/>
              </w:rPr>
            </w:pPr>
            <w:r>
              <w:rPr>
                <w:rFonts w:ascii="Times New Roman" w:cs="Times New Roman" w:eastAsia="Times New Roman" w:hAnsi="Times New Roman"/>
                <w:sz w:val="17"/>
                <w:szCs w:val="17"/>
                <w:color w:val="0000FF"/>
              </w:rPr>
              <w:t>11/04/2026</w:t>
            </w: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7.07</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5,189,871</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960" w:type="dxa"/>
            <w:vAlign w:val="bottom"/>
            <w:tcBorders>
              <w:top w:val="single" w:sz="8" w:color="2C2C2C"/>
            </w:tcBorders>
            <w:gridSpan w:val="4"/>
            <w:vMerge w:val="restart"/>
          </w:tcPr>
          <w:p>
            <w:pPr>
              <w:jc w:val="right"/>
              <w:ind w:right="459"/>
              <w:spacing w:after="0"/>
              <w:rPr>
                <w:sz w:val="20"/>
                <w:szCs w:val="20"/>
                <w:color w:val="auto"/>
              </w:rPr>
            </w:pPr>
            <w:r>
              <w:rPr>
                <w:rFonts w:ascii="Times New Roman" w:cs="Times New Roman" w:eastAsia="Times New Roman" w:hAnsi="Times New Roman"/>
                <w:sz w:val="17"/>
                <w:szCs w:val="17"/>
                <w:color w:val="0000FF"/>
              </w:rPr>
              <w:t>11/04/2026</w:t>
            </w: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20,000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7.07</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2,011,779</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960" w:type="dxa"/>
            <w:vAlign w:val="bottom"/>
            <w:tcBorders>
              <w:top w:val="single" w:sz="8" w:color="2C2C2C"/>
            </w:tcBorders>
            <w:gridSpan w:val="4"/>
            <w:vMerge w:val="restart"/>
          </w:tcPr>
          <w:p>
            <w:pPr>
              <w:jc w:val="right"/>
              <w:ind w:right="459"/>
              <w:spacing w:after="0"/>
              <w:rPr>
                <w:sz w:val="20"/>
                <w:szCs w:val="20"/>
                <w:color w:val="auto"/>
              </w:rPr>
            </w:pPr>
            <w:r>
              <w:rPr>
                <w:rFonts w:ascii="Times New Roman" w:cs="Times New Roman" w:eastAsia="Times New Roman" w:hAnsi="Times New Roman"/>
                <w:sz w:val="17"/>
                <w:szCs w:val="17"/>
                <w:color w:val="0000FF"/>
              </w:rPr>
              <w:t>11/05/2026</w:t>
            </w: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30,891</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7.31</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5,220,762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960" w:type="dxa"/>
            <w:vAlign w:val="bottom"/>
            <w:tcBorders>
              <w:top w:val="single" w:sz="8" w:color="2C2C2C"/>
            </w:tcBorders>
            <w:gridSpan w:val="4"/>
            <w:vMerge w:val="restart"/>
          </w:tcPr>
          <w:p>
            <w:pPr>
              <w:jc w:val="right"/>
              <w:ind w:right="459"/>
              <w:spacing w:after="0"/>
              <w:rPr>
                <w:sz w:val="20"/>
                <w:szCs w:val="20"/>
                <w:color w:val="auto"/>
              </w:rPr>
            </w:pPr>
            <w:r>
              <w:rPr>
                <w:rFonts w:ascii="Times New Roman" w:cs="Times New Roman" w:eastAsia="Times New Roman" w:hAnsi="Times New Roman"/>
                <w:sz w:val="17"/>
                <w:szCs w:val="17"/>
                <w:color w:val="0000FF"/>
              </w:rPr>
              <w:t>11/05/2026</w:t>
            </w: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125,200</w:t>
            </w:r>
          </w:p>
        </w:tc>
        <w:tc>
          <w:tcPr>
            <w:tcW w:w="48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7.31</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2,136,979</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3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ORBIMED ADVISORS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4"/>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OrbiMed Capital GP VII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601 LEXINGTON AVENUE, 54TH FLOOR</w:t>
            </w: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OrbiMed Genesis GP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601 LEXINGTON AVENUE, 54TH FLOOR</w:t>
            </w: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-4485005</wp:posOffset>
            </wp:positionV>
            <wp:extent cx="2809240" cy="4565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565015"/>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40" w:firstLine="7"/>
        <w:spacing w:after="0" w:line="24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directly by OrbiMed Private Investments VII, LP ("OPI VII"). OrbiMed Capital GP VII LLC ("GP VII") is the general partner of OPI VII. OrbiMed Advisors LLC ("OrbiMed Advisors") is the managing member of GP VII. By virtue of such relationships, GP VII and OrbiMed Advisors may be deemed to have voting power and investment power over the securities held by OPI VII and as a result, may be deemed to have beneficial ownership over such securities. OrbiMed Advisors exercises voting and investment power through a management committee comprised of Carl L.</w:t>
      </w:r>
    </w:p>
    <w:p>
      <w:pPr>
        <w:spacing w:after="0" w:line="1" w:lineRule="exact"/>
        <w:rPr>
          <w:rFonts w:ascii="Times New Roman" w:cs="Times New Roman" w:eastAsia="Times New Roman" w:hAnsi="Times New Roman"/>
          <w:sz w:val="13"/>
          <w:szCs w:val="13"/>
          <w:color w:val="008000"/>
        </w:rPr>
      </w:pPr>
    </w:p>
    <w:p>
      <w:pPr>
        <w:ind w:left="2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Gordon, W. Carter Neild, and Geoffrey C. Hsu, each of whom disclaims beneficial ownership of the shares held by OPI VII.</w:t>
      </w:r>
    </w:p>
    <w:p>
      <w:pPr>
        <w:spacing w:after="0" w:line="36" w:lineRule="exact"/>
        <w:rPr>
          <w:rFonts w:ascii="Times New Roman" w:cs="Times New Roman" w:eastAsia="Times New Roman" w:hAnsi="Times New Roman"/>
          <w:sz w:val="13"/>
          <w:szCs w:val="13"/>
          <w:color w:val="008000"/>
        </w:rPr>
      </w:pPr>
    </w:p>
    <w:p>
      <w:pPr>
        <w:ind w:left="20" w:right="1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directly by OrbiMed Genesis Master Fund, L.P. ("OrbiMed Genesis"). OrbiMed Genesis GP LLC ("Genesis GP") is the general partner of OrbiMed Genesis. OrbiMed Advisors is the managing member of Genesis GP. By virtue of such relationships, Genesis GP and OrbiMed Advisors may be deemed to have voting power and investment power over the securities held by OrbiMed Genesis and as a result, may be deemed to have beneficial ownership over such securities. OrbiMed Advisors exercises voting and investment power through a management committee comprised of Carl L. Gordon, W. Carter Neild, and Geoffrey C. Hsu, each of whom disclaims beneficial ownership of the shares held by OrbiMed Genesis.</w:t>
      </w:r>
    </w:p>
    <w:p>
      <w:pPr>
        <w:spacing w:after="0" w:line="24" w:lineRule="exact"/>
        <w:rPr>
          <w:rFonts w:ascii="Times New Roman" w:cs="Times New Roman" w:eastAsia="Times New Roman" w:hAnsi="Times New Roman"/>
          <w:sz w:val="13"/>
          <w:szCs w:val="13"/>
          <w:color w:val="008000"/>
        </w:rPr>
      </w:pPr>
    </w:p>
    <w:p>
      <w:pPr>
        <w:jc w:val="both"/>
        <w:ind w:left="20" w:firstLine="7"/>
        <w:spacing w:after="0" w:line="245"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on Form 4 is jointly filed by OrbiMed Advisors, GP VII and Genesis GP.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Carl L. Gordon, a member of OrbiMed Advisors, to serve on the Issuer's board of directors. This report shall not be deemed an admission that any of such entity or person is a beneficial owner of such securities for purposes of Section 16 of the Exchange Act, or for any other purpose.</w:t>
      </w:r>
    </w:p>
    <w:p>
      <w:pPr>
        <w:ind w:left="6560"/>
        <w:spacing w:after="0" w:line="181" w:lineRule="auto"/>
        <w:rPr>
          <w:sz w:val="20"/>
          <w:szCs w:val="20"/>
          <w:color w:val="auto"/>
        </w:rPr>
      </w:pPr>
      <w:r>
        <w:rPr>
          <w:rFonts w:ascii="Times New Roman" w:cs="Times New Roman" w:eastAsia="Times New Roman" w:hAnsi="Times New Roman"/>
          <w:sz w:val="17"/>
          <w:szCs w:val="17"/>
          <w:color w:val="0000FF"/>
        </w:rPr>
        <w:t xml:space="preserve">/s/ Carl L. Gordon, Member of </w:t>
      </w:r>
      <w:r>
        <w:rPr>
          <w:rFonts w:ascii="Times New Roman" w:cs="Times New Roman" w:eastAsia="Times New Roman" w:hAnsi="Times New Roman"/>
          <w:sz w:val="33"/>
          <w:szCs w:val="33"/>
          <w:color w:val="0000FF"/>
          <w:vertAlign w:val="subscript"/>
        </w:rPr>
        <w:t>11/05/2026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53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062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497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Carl L. Gordon, Member of </w:t>
      </w:r>
      <w:r>
        <w:rPr>
          <w:rFonts w:ascii="Times New Roman" w:cs="Times New Roman" w:eastAsia="Times New Roman" w:hAnsi="Times New Roman"/>
          <w:sz w:val="32"/>
          <w:szCs w:val="32"/>
          <w:color w:val="0000FF"/>
          <w:vertAlign w:val="subscript"/>
        </w:rPr>
        <w:t>11/05/2026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531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Capital GP VII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32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3223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4972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Carl L. Gordon, Member of </w:t>
      </w:r>
      <w:r>
        <w:rPr>
          <w:rFonts w:ascii="Times New Roman" w:cs="Times New Roman" w:eastAsia="Times New Roman" w:hAnsi="Times New Roman"/>
          <w:sz w:val="32"/>
          <w:szCs w:val="32"/>
          <w:color w:val="0000FF"/>
          <w:vertAlign w:val="subscript"/>
        </w:rPr>
        <w:t>11/05/2026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531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1823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18237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4972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3" Type="http://schemas.openxmlformats.org/officeDocument/2006/relationships/hyperlink" Target="http://www.sec.gov/cgi-bin/browse-edgar?action=getcompany&amp;CIK=0001055951" TargetMode="External"/><Relationship Id="rId14" Type="http://schemas.openxmlformats.org/officeDocument/2006/relationships/hyperlink" Target="http://www.sec.gov/cgi-bin/browse-edgar?action=getcompany&amp;CIK=0002088082" TargetMode="External"/><Relationship Id="rId17" Type="http://schemas.openxmlformats.org/officeDocument/2006/relationships/hyperlink" Target="http://www.sec.gov/cgi-bin/browse-edgar?action=getcompany&amp;CIK=0001760648" TargetMode="External"/><Relationship Id="rId18" Type="http://schemas.openxmlformats.org/officeDocument/2006/relationships/hyperlink" Target="http://www.sec.gov/cgi-bin/browse-edgar?action=getcompany&amp;CIK=0001808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2026-11-05T16:40:24Z</dcterms:created>
  <dcterms:modified xsi:type="dcterms:W3CDTF">2026-11-05T16:40:24Z</dcterms:modified>
</cp:coreProperties>
</file>