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Electra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Redmile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5,462,881.00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5,462,881.00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5,462,881.00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shares of common stock, $0.0001 par value per share, of the Issuer (the "Common Stock") that are or may be deemed beneficially owned by Redmile Group, LLC and the calculation of the percent of such class of securities is incorporated by reference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Jeremy C. Green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5,462,881.00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5,462,881.00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5,462,881.00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shares of Common Stock that are or may be deemed beneficially owned by Jeremy Green and the calculation of the percent of such class of securities is incorporated by reference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Redmile Biopharma Investments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4,796,215.00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4,796,215.00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4,796,215.00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shares of Common Stock that are or may be deemed beneficially owned by Redmile Biopharma Investments II, L.P. and the calculation of the percent of such class of securities is incorporated by reference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Electra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 E. Grand Avenue Suite S-100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Redmile Group, LLC Jeremy C. Green Redmile Biopharma Investments II, L.P.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Redmile Group, LLC 900 Larkspur Landing Circle, Suite 270 Larkspur, California 94939 Jeremy C. Green c/o Redmile Group, LLC (NY Office) 45 W. 27th Street, Floor 11 New York, NY 10001 Redmile Biopharma Investments II, L.P. c/o Redmile Group, LLC 900 Larkspur Landing Circle, Suite 270 Larkspur, California 94939</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Citizenship: </w:t>
            </w:r>
          </w:p>
          <w:p>
            <w:pPr>
              <w:pStyle w:val="TableContents"/>
              <w:bidi w:val="0"/>
              <w:spacing w:before="0" w:after="0"/>
              <w:jc w:val="left"/>
              <w:rPr/>
            </w:pPr>
            <w:r>
              <w:rPr/>
              <w:t>Redmile Group, LLC: Delaware Jeremy C. Green: United Kingdom Redmile Biopharma Investments II, L.P.: Delaware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(g)</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(h)</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(j)</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(k)</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Redmile Group, LLC - 5,462,881 (1) Jeremy C. Green - 5,462,881 (1) Redmile Biopharma Investments II, L.P. - 4,796,215 (2)</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Redmile Group, LLC - 8.7% (3) Jeremy C. Green - 8.7% (3) Redmile Biopharma Investments II, L.P. - 7.6% (3)  %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Redmile Group, LLC - 0 Jeremy C. Green - 0 Redmile Biopharma Investments II,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Redmile Group, LLC - 5,462,881 (1) Jeremy C. Green - 5,462,881 (1) Redmile Biopharma Investments II, L.P. - 4,796,215 (2)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Redmile Group, LLC - 0 Jeremy C. Green - 0 Redmile Biopharma Investments II,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Redmile Group, LLC - 5,462,881 (1) Jeremy C. Green - 5,462,881 (1) Redmile Biopharma Investments II, L.P. - 4,796,215 (2) (1) All of such shares of Common Stock are directly owned by certain investment vehicles, including Redmile Biopharma Investments II, L.P. ("RBI II"), for which Redmile is the investment manager (the "Redmile Funds"). Redmile may be deemed to beneficially own these securities in its capacity as their investment manager with discretion to vote and dispose of all shares of Common Stock held by the Redmile Funds. Mr. Green also may be deemed to beneficially own these securities as the principal of Redmile. Redmile and Mr. Green each disclaims beneficial ownership of these securities, except to the extent of its or his pecuniary interest in such securities, if any. (2) All of such shares of Common Stock are directly owned RBI II. (3) Percentage based on 62,766,955 shares of Common Stock outstanding immediately after the initial public offering, as reported in the Issuer's Prospectus dated September 17, 2026 filed with the SEC on September 18,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the response to Item 4.</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8.</w:t>
            </w:r>
          </w:p>
        </w:tc>
        <w:tc>
          <w:tcPr>
            <w:tcW w:w="88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9.</w:t>
            </w:r>
          </w:p>
        </w:tc>
        <w:tc>
          <w:tcPr>
            <w:tcW w:w="88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Redmile Group,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Jeremy C.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Jeremy C. Green</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Jeremy C. Green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Jeremy C. Green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Redmile Biopharma Investments II, 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2"/>
        <w:gridCol w:w="4243"/>
      </w:tblGrid>
      <w:tr>
        <w:trPr/>
        <w:tc>
          <w:tcPr>
            <w:tcW w:w="59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15"/>
              <w:gridCol w:w="8990"/>
            </w:tblGrid>
            <w:tr>
              <w:trPr/>
              <w:tc>
                <w:tcPr>
                  <w:tcW w:w="1215" w:type="dxa"/>
                  <w:tcBorders/>
                  <w:vAlign w:val="center"/>
                </w:tcPr>
                <w:p>
                  <w:pPr>
                    <w:pStyle w:val="TableContents"/>
                    <w:bidi w:val="0"/>
                    <w:spacing w:before="0" w:after="283"/>
                    <w:jc w:val="left"/>
                    <w:rPr/>
                  </w:pPr>
                  <w:r>
                    <w:rPr/>
                    <w:t>Signature:</w:t>
                  </w:r>
                </w:p>
              </w:tc>
              <w:tc>
                <w:tcPr>
                  <w:tcW w:w="8990" w:type="dxa"/>
                  <w:tcBorders/>
                  <w:vAlign w:val="center"/>
                </w:tcPr>
                <w:p>
                  <w:pPr>
                    <w:pStyle w:val="TableContents"/>
                    <w:bidi w:val="0"/>
                    <w:spacing w:before="0" w:after="283"/>
                    <w:jc w:val="left"/>
                    <w:rPr/>
                  </w:pPr>
                  <w:r>
                    <w:rPr/>
                    <w:t>/s/ Jeremy C. Green</w:t>
                  </w:r>
                </w:p>
              </w:tc>
            </w:tr>
            <w:tr>
              <w:trPr/>
              <w:tc>
                <w:tcPr>
                  <w:tcW w:w="1215" w:type="dxa"/>
                  <w:tcBorders/>
                  <w:vAlign w:val="center"/>
                </w:tcPr>
                <w:p>
                  <w:pPr>
                    <w:pStyle w:val="TableContents"/>
                    <w:bidi w:val="0"/>
                    <w:spacing w:before="0" w:after="283"/>
                    <w:jc w:val="left"/>
                    <w:rPr/>
                  </w:pPr>
                  <w:r>
                    <w:rPr/>
                    <w:t>Name/Title:</w:t>
                  </w:r>
                </w:p>
              </w:tc>
              <w:tc>
                <w:tcPr>
                  <w:tcW w:w="8990" w:type="dxa"/>
                  <w:tcBorders/>
                  <w:vAlign w:val="center"/>
                </w:tcPr>
                <w:p>
                  <w:pPr>
                    <w:pStyle w:val="TableContents"/>
                    <w:bidi w:val="0"/>
                    <w:spacing w:before="0" w:after="283"/>
                    <w:jc w:val="left"/>
                    <w:rPr/>
                  </w:pPr>
                  <w:r>
                    <w:rPr/>
                    <w:t>Managing Member of Redmile Group, LLC, Managing Member of Redmile Biopharma Investments II (GP), LLC, General Partner of Redmile Biopharma Investments</w:t>
                  </w:r>
                </w:p>
              </w:tc>
            </w:tr>
            <w:tr>
              <w:trPr/>
              <w:tc>
                <w:tcPr>
                  <w:tcW w:w="1215" w:type="dxa"/>
                  <w:tcBorders/>
                  <w:vAlign w:val="center"/>
                </w:tcPr>
                <w:p>
                  <w:pPr>
                    <w:pStyle w:val="TableContents"/>
                    <w:bidi w:val="0"/>
                    <w:spacing w:before="0" w:after="283"/>
                    <w:jc w:val="left"/>
                    <w:rPr/>
                  </w:pPr>
                  <w:r>
                    <w:rPr/>
                    <w:t>Date:</w:t>
                  </w:r>
                </w:p>
              </w:tc>
              <w:tc>
                <w:tcPr>
                  <w:tcW w:w="8990"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43" w:type="dxa"/>
            <w:tcBorders/>
            <w:vAlign w:val="center"/>
          </w:tcPr>
          <w:p>
            <w:pPr>
              <w:pStyle w:val="TableContents"/>
              <w:bidi w:val="0"/>
              <w:spacing w:before="0" w:after="283"/>
              <w:jc w:val="left"/>
              <w:rPr>
                <w:sz w:val="4"/>
                <w:szCs w:val="4"/>
              </w:rPr>
            </w:pPr>
            <w:r>
              <w:rPr>
                <w:sz w:val="4"/>
                <w:szCs w:val="4"/>
              </w:rPr>
            </w:r>
          </w:p>
        </w:tc>
      </w:tr>
    </w:tbl>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jc w:val="left"/>
        <w:rPr/>
      </w:pPr>
      <w:bookmarkStart w:id="24" w:name="tm2626160d1_ex99-1.htm"/>
      <w:bookmarkStart w:id="25" w:name="kstm2626160d1_ex991"/>
      <w:bookmarkEnd w:id="24"/>
      <w:bookmarkEnd w:id="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the undersigned hereby agree to the joint filing on behalf of each of them of a Statement on Schedule 13G (including any and all amendments thereto, the “</w:t>
      </w:r>
      <w:r>
        <w:rPr>
          <w:rFonts w:ascii="Times New Roman;Times;Serif" w:hAnsi="Times New Roman;Times;Serif"/>
          <w:b w:val="false"/>
          <w:i w:val="false"/>
          <w:caps w:val="false"/>
          <w:smallCaps w:val="false"/>
          <w:sz w:val="20"/>
          <w:u w:val="single"/>
        </w:rPr>
        <w:t>Schedule 13G</w:t>
      </w:r>
      <w:r>
        <w:rPr>
          <w:rFonts w:ascii="Times New Roman;Times;Serif" w:hAnsi="Times New Roman;Times;Serif"/>
          <w:b w:val="false"/>
          <w:i w:val="false"/>
          <w:caps w:val="false"/>
          <w:smallCaps w:val="false"/>
          <w:sz w:val="20"/>
        </w:rPr>
        <w:t>”) relating to the Common Stock, $0.0001 par value per share, of Electra Therapeutics, Inc., which may be deemed necessary pursuant to Regulation 13D or 13G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further agree that each party hereto is responsible for the timely filing of the Schedule 13G, and for the accuracy and completeness of the information concerning such party contained therein; provided, however, that no party is responsible for the accuracy or completeness of the information concerning any other party, unless such party knows or has a reason to believe that such information is inaccurate.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a copy of this Joint Filing Agreement shall be attached as an exhibit to the Schedule 13G, filed on behalf of each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undersigned has executed this Joint Filing Agreement as of September 28, 2026.</w:t>
      </w:r>
    </w:p>
    <w:p>
      <w:pPr>
        <w:pStyle w:val="TextBody"/>
        <w:bidi w:val="0"/>
        <w:spacing w:before="0" w:after="0"/>
        <w:ind w:left="0" w:right="0" w:firstLine="720"/>
        <w:jc w:val="both"/>
        <w:rPr>
          <w:caps w:val="false"/>
          <w:smallCaps w:val="false"/>
        </w:rPr>
      </w:pPr>
      <w:r>
        <w:rPr>
          <w:caps w:val="false"/>
          <w:smallCaps w:val="false"/>
        </w:rPr>
        <w:t> </w:t>
      </w:r>
    </w:p>
    <w:tbl>
      <w:tblPr>
        <w:tblW w:w="6976" w:type="dxa"/>
        <w:jc w:val="left"/>
        <w:tblInd w:w="0" w:type="dxa"/>
        <w:tblLayout w:type="fixed"/>
        <w:tblCellMar>
          <w:top w:w="0" w:type="dxa"/>
          <w:left w:w="0" w:type="dxa"/>
          <w:bottom w:w="0" w:type="dxa"/>
          <w:right w:w="0" w:type="dxa"/>
        </w:tblCellMar>
      </w:tblPr>
      <w:tblGrid>
        <w:gridCol w:w="75"/>
        <w:gridCol w:w="6901"/>
      </w:tblGrid>
      <w:tr>
        <w:trPr/>
        <w:tc>
          <w:tcPr>
            <w:tcW w:w="75"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283"/>
              <w:jc w:val="left"/>
              <w:rPr>
                <w:b/>
                <w:sz w:val="20"/>
              </w:rPr>
            </w:pPr>
            <w:r>
              <w:rPr>
                <w:b/>
                <w:sz w:val="20"/>
              </w:rPr>
              <w:t>REDMILE GROUP, LLC</w:t>
            </w:r>
          </w:p>
        </w:tc>
      </w:tr>
      <w:tr>
        <w:trPr/>
        <w:tc>
          <w:tcPr>
            <w:tcW w:w="75"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0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Jeremy C. Green</w:t>
            </w:r>
          </w:p>
        </w:tc>
      </w:tr>
      <w:tr>
        <w:trPr/>
        <w:tc>
          <w:tcPr>
            <w:tcW w:w="75"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283"/>
              <w:jc w:val="left"/>
              <w:rPr>
                <w:sz w:val="20"/>
              </w:rPr>
            </w:pPr>
            <w:r>
              <w:rPr>
                <w:sz w:val="20"/>
              </w:rPr>
              <w:t>Name: Jeremy C. Green</w:t>
            </w:r>
          </w:p>
        </w:tc>
      </w:tr>
      <w:tr>
        <w:trPr/>
        <w:tc>
          <w:tcPr>
            <w:tcW w:w="75"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283"/>
              <w:jc w:val="left"/>
              <w:rPr>
                <w:sz w:val="20"/>
              </w:rPr>
            </w:pPr>
            <w:r>
              <w:rPr>
                <w:sz w:val="20"/>
              </w:rPr>
              <w:t>Title: Managing Member</w:t>
            </w:r>
          </w:p>
        </w:tc>
      </w:tr>
      <w:tr>
        <w:trPr/>
        <w:tc>
          <w:tcPr>
            <w:tcW w:w="75"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0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Jeremy C. Green</w:t>
            </w:r>
          </w:p>
        </w:tc>
      </w:tr>
      <w:tr>
        <w:trPr/>
        <w:tc>
          <w:tcPr>
            <w:tcW w:w="75"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JEREMY C. GREEN</w:t>
            </w:r>
          </w:p>
        </w:tc>
      </w:tr>
      <w:tr>
        <w:trPr/>
        <w:tc>
          <w:tcPr>
            <w:tcW w:w="75"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283"/>
              <w:jc w:val="left"/>
              <w:rPr>
                <w:b/>
                <w:sz w:val="20"/>
              </w:rPr>
            </w:pPr>
            <w:r>
              <w:rPr>
                <w:b/>
                <w:sz w:val="20"/>
              </w:rPr>
              <w:t>REDMILE BIOPHARMA INVESTMENTS II, L.P.</w:t>
            </w:r>
          </w:p>
        </w:tc>
      </w:tr>
      <w:tr>
        <w:trPr/>
        <w:tc>
          <w:tcPr>
            <w:tcW w:w="75"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0"/>
              <w:ind w:left="56" w:right="56"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REDMILE BIOPHARMA INVESTMENTS II (GP), LLC, its general partner</w:t>
            </w:r>
          </w:p>
          <w:p>
            <w:pPr>
              <w:pStyle w:val="TableContents"/>
              <w:bidi w:val="0"/>
              <w:spacing w:before="0" w:after="0"/>
              <w:ind w:left="56" w:right="56"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BY: REDMILE GROUP, LLC, its managing member </w:t>
            </w:r>
          </w:p>
        </w:tc>
      </w:tr>
      <w:tr>
        <w:trPr/>
        <w:tc>
          <w:tcPr>
            <w:tcW w:w="75"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0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Jeremy C. Green</w:t>
            </w:r>
          </w:p>
        </w:tc>
      </w:tr>
      <w:tr>
        <w:trPr/>
        <w:tc>
          <w:tcPr>
            <w:tcW w:w="75"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283"/>
              <w:jc w:val="left"/>
              <w:rPr>
                <w:sz w:val="20"/>
              </w:rPr>
            </w:pPr>
            <w:r>
              <w:rPr>
                <w:sz w:val="20"/>
              </w:rPr>
              <w:t>Name: Jeremy C. Green</w:t>
            </w:r>
          </w:p>
        </w:tc>
      </w:tr>
      <w:tr>
        <w:trPr/>
        <w:tc>
          <w:tcPr>
            <w:tcW w:w="75"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283"/>
              <w:jc w:val="left"/>
              <w:rPr>
                <w:sz w:val="20"/>
              </w:rPr>
            </w:pPr>
            <w:r>
              <w:rPr>
                <w:sz w:val="20"/>
              </w:rPr>
              <w:t>Title: Managing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1795</Words>
  <Characters>9241</Characters>
  <CharactersWithSpaces>10996</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