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12636ds8.htm"/>
      <w:bookmarkStart w:id="1" w:name="ksd112636ds8"/>
      <w:bookmarkEnd w:id="0"/>
      <w:bookmarkEnd w:id="1"/>
      <w:r>
        <w:rPr>
          <w:rFonts w:ascii="Times New Roman" w:hAnsi="Times New Roman"/>
          <w:b/>
          <w:sz w:val="20"/>
        </w:rPr>
        <w:t xml:space="preserve">As filed with the Securities and Exchange Commission on September 21,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83-2193635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230 E Grand Avenue</w:t>
            </w:r>
          </w:p>
          <w:p>
            <w:pPr>
              <w:pStyle w:val="TableContents"/>
              <w:bidi w:val="0"/>
              <w:spacing w:before="0" w:after="0"/>
              <w:jc w:val="center"/>
              <w:rPr>
                <w:rFonts w:ascii="Times New Roman" w:hAnsi="Times New Roman"/>
                <w:b/>
                <w:sz w:val="20"/>
              </w:rPr>
            </w:pPr>
            <w:r>
              <w:rPr>
                <w:rFonts w:ascii="Times New Roman" w:hAnsi="Times New Roman"/>
                <w:b/>
                <w:sz w:val="20"/>
              </w:rPr>
              <w:t>Suite S-100</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94080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Electra Therapeutics, Inc. 2022 Stock Plan, as amended </w:t>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2026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Quehuong (Kathy) Dong, Pharm.D., M.B.A.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230 E Grand Avenue </w:t>
      </w:r>
    </w:p>
    <w:p>
      <w:pPr>
        <w:pStyle w:val="TextBody"/>
        <w:bidi w:val="0"/>
        <w:spacing w:before="0" w:after="0"/>
        <w:jc w:val="center"/>
        <w:rPr>
          <w:rFonts w:ascii="Times New Roman" w:hAnsi="Times New Roman"/>
          <w:b/>
          <w:sz w:val="20"/>
        </w:rPr>
      </w:pPr>
      <w:r>
        <w:rPr>
          <w:rFonts w:ascii="Times New Roman" w:hAnsi="Times New Roman"/>
          <w:b/>
          <w:sz w:val="20"/>
        </w:rPr>
        <w:t xml:space="preserve">Suite S-100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0" w:after="0"/>
        <w:jc w:val="center"/>
        <w:rPr>
          <w:rFonts w:ascii="Times New Roman" w:hAnsi="Times New Roman"/>
          <w:b/>
          <w:sz w:val="20"/>
        </w:rPr>
      </w:pPr>
      <w:r>
        <w:rPr>
          <w:rFonts w:ascii="Times New Roman" w:hAnsi="Times New Roman"/>
          <w:b/>
          <w:sz w:val="20"/>
        </w:rPr>
        <w:t xml:space="preserve">(888) 743-2290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Charles J. Bair </w:t>
      </w:r>
    </w:p>
    <w:p>
      <w:pPr>
        <w:pStyle w:val="TextBody"/>
        <w:bidi w:val="0"/>
        <w:spacing w:before="0" w:after="0"/>
        <w:jc w:val="center"/>
        <w:rPr>
          <w:rFonts w:ascii="Times New Roman" w:hAnsi="Times New Roman"/>
          <w:b/>
          <w:sz w:val="20"/>
        </w:rPr>
      </w:pPr>
      <w:r>
        <w:rPr>
          <w:rFonts w:ascii="Times New Roman" w:hAnsi="Times New Roman"/>
          <w:b/>
          <w:sz w:val="20"/>
        </w:rPr>
        <w:t xml:space="preserve">Charles S. Kim </w:t>
      </w:r>
    </w:p>
    <w:p>
      <w:pPr>
        <w:pStyle w:val="TextBody"/>
        <w:bidi w:val="0"/>
        <w:spacing w:before="0" w:after="0"/>
        <w:jc w:val="center"/>
        <w:rPr>
          <w:rFonts w:ascii="Times New Roman" w:hAnsi="Times New Roman"/>
          <w:b/>
          <w:sz w:val="20"/>
        </w:rPr>
      </w:pPr>
      <w:r>
        <w:rPr>
          <w:rFonts w:ascii="Times New Roman" w:hAnsi="Times New Roman"/>
          <w:b/>
          <w:sz w:val="20"/>
        </w:rPr>
        <w:t xml:space="preserve">Sara Semnani </w:t>
      </w:r>
    </w:p>
    <w:p>
      <w:pPr>
        <w:pStyle w:val="TextBody"/>
        <w:bidi w:val="0"/>
        <w:spacing w:before="0" w:after="0"/>
        <w:jc w:val="center"/>
        <w:rPr>
          <w:rFonts w:ascii="Times New Roman" w:hAnsi="Times New Roman"/>
          <w:b/>
          <w:sz w:val="20"/>
        </w:rPr>
      </w:pPr>
      <w:r>
        <w:rPr>
          <w:rFonts w:ascii="Times New Roman" w:hAnsi="Times New Roman"/>
          <w:b/>
          <w:sz w:val="20"/>
        </w:rPr>
        <w:t xml:space="preserve">Dylan Kornbluth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10265 Science Center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92121 </w:t>
      </w:r>
    </w:p>
    <w:p>
      <w:pPr>
        <w:pStyle w:val="TextBody"/>
        <w:bidi w:val="0"/>
        <w:spacing w:before="0" w:after="0"/>
        <w:jc w:val="center"/>
        <w:rPr>
          <w:rFonts w:ascii="Times New Roman" w:hAnsi="Times New Roman"/>
          <w:b/>
          <w:sz w:val="20"/>
        </w:rPr>
      </w:pPr>
      <w:r>
        <w:rPr>
          <w:rFonts w:ascii="Times New Roman" w:hAnsi="Times New Roman"/>
          <w:b/>
          <w:sz w:val="20"/>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called for by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Electra Therapeutics, Inc. (the “Registrant”) hereby incorporates by reference into this Registration Statement the following documents previously filed by the Registrant with the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pPr>
            <w:r>
              <w:rPr>
                <w:rFonts w:ascii="Times New Roman" w:hAnsi="Times New Roman"/>
                <w:sz w:val="20"/>
              </w:rPr>
              <w:t xml:space="preserve">The Registrant’s prospectus filed on September  18, 2026 pursuant to </w:t>
            </w:r>
            <w:hyperlink r:id="rId2">
              <w:r>
                <w:rPr>
                  <w:rStyle w:val="InternetLink"/>
                  <w:rFonts w:ascii="Times New Roman" w:hAnsi="Times New Roman"/>
                  <w:sz w:val="20"/>
                </w:rPr>
                <w:t>Rule 424(b)</w:t>
              </w:r>
            </w:hyperlink>
            <w:r>
              <w:rPr>
                <w:rFonts w:ascii="Times New Roman" w:hAnsi="Times New Roman"/>
                <w:sz w:val="20"/>
              </w:rPr>
              <w:t xml:space="preserve"> of the Securities Act relating to the Registrant’s Registration Statement on Form S-1, as amended (</w:t>
            </w:r>
            <w:hyperlink r:id="rId3">
              <w:r>
                <w:rPr>
                  <w:rStyle w:val="InternetLink"/>
                  <w:rFonts w:ascii="Times New Roman" w:hAnsi="Times New Roman"/>
                  <w:sz w:val="20"/>
                </w:rPr>
                <w:t>File No. 333-298617</w:t>
              </w:r>
            </w:hyperlink>
            <w:r>
              <w:rPr>
                <w:rFonts w:ascii="Times New Roman" w:hAnsi="Times New Roman"/>
                <w:sz w:val="20"/>
              </w:rPr>
              <w:t xml:space="preserve">), initially filed with the Commission on August 28, 2026, which contains audited financial statements for the Registrant’s latest fiscal year for which such statements have been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4">
              <w:r>
                <w:rPr>
                  <w:rStyle w:val="InternetLink"/>
                  <w:rFonts w:ascii="Times New Roman" w:hAnsi="Times New Roman"/>
                  <w:sz w:val="20"/>
                </w:rPr>
                <w:t>Form 8-A</w:t>
              </w:r>
            </w:hyperlink>
            <w:r>
              <w:rPr>
                <w:rFonts w:ascii="Times New Roman" w:hAnsi="Times New Roman"/>
                <w:sz w:val="20"/>
              </w:rPr>
              <w:t xml:space="preserve"> filed on September  18, 2026 (</w:t>
            </w:r>
            <w:hyperlink r:id="rId5">
              <w:r>
                <w:rPr>
                  <w:rStyle w:val="InternetLink"/>
                  <w:rFonts w:ascii="Times New Roman" w:hAnsi="Times New Roman"/>
                  <w:sz w:val="20"/>
                </w:rPr>
                <w:t>File No. 001-43477</w:t>
              </w:r>
            </w:hyperlink>
            <w:r>
              <w:rPr>
                <w:rFonts w:ascii="Times New Roman" w:hAnsi="Times New Roman"/>
                <w:sz w:val="20"/>
              </w:rPr>
              <w:t xml:space="preserve">), under Section 12(b) of the Securities Exchange Act of 1934, as amended (the “Exchange Act”),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As permitted by Sections 102 and 145 of the General Corporation Law of the State of Delaware (the “DGCL”), the Registrant has adopted provisions in its amended and restated certificate of incorporation and amended and restated bylaws that limit or eliminate the personal liability of its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Registrant or its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the Registrant or its stockholders;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related to unlawful stock repurchases, redemptions or other distributions or payment of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limitations of liability do not affect the availability of equitable remedies such as injunctive relief or rescission. The Registrant’s amended and restated certificate of incorporation also authorizes it to indemnify its officers, directors and other agents to the fullest extent permitted under Delaware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permitted by Section 145 of the DGCL, the Registrant’s amended and restated bylaws provide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indemnify its directors, officers, employees and other agents to the fullest extent permitted by the DGCL,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advance expenses to its directors, officers and employees in connection with a legal proceeding, subject to limited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provided in the Registrant’s amended and restated bylaws are not exclusive.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Registrant’s amended and restated certificate of incorporation and its amended and restated bylaws, provide for the indemnification provisions described above. The Registrant has entered or will enter into, and intends to continue to enter into, separate indemnification agreements with its directors and officers that may be broader than the specific indemnification provisions contained in the DGCL. These indemnification agreements generally require the Registrant to, among other things, indemnify its officers and directors against certain liabilities that may arise by reason of their status or service as directors or officers, other than liabilities arising from willful misconduct. These indemnification agreements also generally require the Registrant to advance any expenses incurred by the directors or officers as a result of any proceeding against them as to which they could be indemnified. These indemnification provisions and the indemnification agreements may be sufficiently broad to permit indemnification of the Registrant’s officers and directors for liabilities, including reimbursement of expenses incurred,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purchased and currently intends to maintain insurance on behalf of each and every person who is one of its directors or officers, within the limits and subject to the terms and conditions thereof, against any loss arising from any claim asserted against him or her and incurred by him or her in any such capacity, subject to certain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to this Registration Statement are listed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
        <w:gridCol w:w="518"/>
        <w:gridCol w:w="9072"/>
      </w:tblGrid>
      <w:tr>
        <w:trPr/>
        <w:tc>
          <w:tcPr>
            <w:tcW w:w="615"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9072" w:type="dxa"/>
            <w:tcBorders/>
            <w:vAlign w:val="center"/>
          </w:tcPr>
          <w:p>
            <w:pPr>
              <w:pStyle w:val="TableContents"/>
              <w:bidi w:val="0"/>
              <w:spacing w:before="0" w:after="283"/>
              <w:jc w:val="left"/>
              <w:rPr>
                <w:sz w:val="4"/>
                <w:szCs w:val="4"/>
              </w:rPr>
            </w:pPr>
            <w:r>
              <w:rPr>
                <w:sz w:val="4"/>
                <w:szCs w:val="4"/>
              </w:rPr>
            </w:r>
          </w:p>
        </w:tc>
      </w:tr>
      <w:tr>
        <w:trPr/>
        <w:tc>
          <w:tcPr>
            <w:tcW w:w="61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518" w:type="dxa"/>
            <w:tcBorders/>
            <w:vAlign w:val="bottom"/>
          </w:tcPr>
          <w:p>
            <w:pPr>
              <w:pStyle w:val="TableContents"/>
              <w:bidi w:val="0"/>
              <w:spacing w:before="0" w:after="283"/>
              <w:jc w:val="left"/>
              <w:rPr/>
            </w:pPr>
            <w:r>
              <w:rPr/>
              <w:t>  </w:t>
            </w:r>
          </w:p>
        </w:tc>
        <w:tc>
          <w:tcPr>
            <w:tcW w:w="907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4.1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6">
              <w:r>
                <w:rPr>
                  <w:rStyle w:val="InternetLink"/>
                </w:rPr>
                <w:t xml:space="preserve">Amended and Restated Certificate of Incorporation (incorporated herein by reference to Exhibit 3.1 to the Registrant’s Current Report on Form 8-K (File No. 001-43477), filed with the Commission on September 21,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4.2</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7">
              <w:r>
                <w:rPr>
                  <w:rStyle w:val="InternetLink"/>
                </w:rPr>
                <w:t xml:space="preserve">Amended and Restated Bylaws (incorporated herein by reference to Exhibit 3.4 to the Registrant’s Registration Statement on Form S-1 (File No. 333-298617), filed with the Commission on August 28,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4.3</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8">
              <w:r>
                <w:rPr>
                  <w:rStyle w:val="InternetLink"/>
                </w:rPr>
                <w:t xml:space="preserve">Form of Common Stock Certificate (incorporated herein by reference to Exhibit 4.1 to the Registrant’s Registration Statement on Form S-1/A (File No. 333-298617), filed with the Commission on September 14,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4.4</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9">
              <w:r>
                <w:rPr>
                  <w:rStyle w:val="InternetLink"/>
                </w:rPr>
                <w:t xml:space="preserve">Amended and Restated Investors’ Rights Agreement, dated October  15, 2025, by and among the Registrant and the investors named therein (incorporated herein by reference to Exhibit 4.2 to the Registrant’s Registration Statement on Form S-1 (File No. 333-298617), filed with the Commission on August 28,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5.1*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112636dex51.htm">
              <w:r>
                <w:rPr>
                  <w:rStyle w:val="InternetLink"/>
                </w:rPr>
                <w:t xml:space="preserve">Opinion of Cooley LLP.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112636dex231.htm">
              <w:r>
                <w:rPr>
                  <w:rStyle w:val="InternetLink"/>
                </w:rPr>
                <w:t xml:space="preserve">Consent of independent registered public accounting firm.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23.2*</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112636dex51.htm">
              <w:r>
                <w:rPr>
                  <w:rStyle w:val="InternetLink"/>
                </w:rPr>
                <w:t xml:space="preserve">Consent of Cooley LLP (included in Exhibit 5.1).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24.1*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0">
              <w:r>
                <w:rPr>
                  <w:rStyle w:val="InternetLink"/>
                </w:rPr>
                <w:t xml:space="preserve">Electra Therapeutics, Inc. 2022 Stock Plan, as amended (incorporated herein by reference to Exhibit 10.5 to the Registrant’s Registration Statement on Form S-1 (File No. 333-298617), filed with the Commission on August 28,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99.2</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1">
              <w:r>
                <w:rPr>
                  <w:rStyle w:val="InternetLink"/>
                </w:rPr>
                <w:t xml:space="preserve">Forms of Option Notice Agreement, Option Exercise Agreement and Early Exercise Stock Purchase Agreement under the Electra Therapeutics, Inc. 2022 Stock Plan, as amended (incorporated herein by reference to Exhibit 10.6 to the Registrant’s Registration Statement on Form S-1 (File No. 333-298617), filed with the Commission on August 28,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99.3</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2">
              <w:r>
                <w:rPr>
                  <w:rStyle w:val="InternetLink"/>
                </w:rPr>
                <w:t xml:space="preserve">Electra Therapeutics, Inc. 2026 Equity Incentive Plan (incorporated herein by reference to Exhibit 10.2 to the Registrant’s Registration Statement on Form S-1/A (File No. 333-298617), filed with the Commission on September 14,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99.4</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3">
              <w:r>
                <w:rPr>
                  <w:rStyle w:val="InternetLink"/>
                </w:rPr>
                <w:t xml:space="preserve">Forms of Stock Option Grant Notice, Option Agreement and Notice of Exercise under the Electra Therapeutics, Inc. 2026 Equity Incentive Plan (incorporated herein by reference to Exhibit 10.3 to the Registrant’s Registration Statement on Form S-1 (File No. 333-298617), filed with the Commission on August 28,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99.5</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4">
              <w:r>
                <w:rPr>
                  <w:rStyle w:val="InternetLink"/>
                </w:rPr>
                <w:t xml:space="preserve">Electra Therapeutics, Inc. 2026 Employee Stock Purchase Plan (incorporated herein by reference to Exhibit 10.4 to the Registrant’s Registration Statement on Form S-1/A (File No. 333-298617), filed with the Commission on September 14,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107*</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112636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California, on September 21,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ELECTRA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Quehuong (Kathy) Dong, Pharm.D., M.B.A.</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Quehuong (Kathy) Dong, Pharm.D., M.B.A.</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Quehuong (Kathy) Dong, Pharm.D., M.B.A. and Chris Clark, C.F.A. and each of them, as his or her true and lawful attorneys-in-fact and agents, and each of them,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2"/>
        <w:gridCol w:w="121"/>
        <w:gridCol w:w="3265"/>
        <w:gridCol w:w="121"/>
        <w:gridCol w:w="3226"/>
      </w:tblGrid>
      <w:tr>
        <w:trPr/>
        <w:tc>
          <w:tcPr>
            <w:tcW w:w="347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4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3472" w:type="dxa"/>
            <w:tcBorders/>
          </w:tcPr>
          <w:p>
            <w:pPr>
              <w:pStyle w:val="TableContents"/>
              <w:bidi w:val="0"/>
              <w:spacing w:before="0" w:after="0"/>
              <w:jc w:val="left"/>
              <w:rPr/>
            </w:pPr>
            <w:r>
              <w:rPr/>
              <w:t> </w:t>
            </w:r>
          </w:p>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Quehuong (Kathy) Dong, Pharm.D., M.B.A.</w:t>
            </w:r>
          </w:p>
          <w:p>
            <w:pPr>
              <w:pStyle w:val="TableContents"/>
              <w:bidi w:val="0"/>
              <w:spacing w:before="0" w:after="0"/>
              <w:jc w:val="center"/>
              <w:rPr>
                <w:rFonts w:ascii="Times New Roman" w:hAnsi="Times New Roman"/>
                <w:sz w:val="20"/>
              </w:rPr>
            </w:pPr>
            <w:r>
              <w:rPr>
                <w:rFonts w:ascii="Times New Roman" w:hAnsi="Times New Roman"/>
                <w:sz w:val="20"/>
              </w:rPr>
              <w:t>Quehuong (Kathy) Dong, Pharm.D., M.B.A.</w:t>
            </w:r>
          </w:p>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September 21, 2026</w:t>
            </w:r>
          </w:p>
        </w:tc>
      </w:tr>
      <w:tr>
        <w:trPr/>
        <w:tc>
          <w:tcPr>
            <w:tcW w:w="347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 Clark, C.F.A.</w:t>
            </w:r>
          </w:p>
          <w:p>
            <w:pPr>
              <w:pStyle w:val="TableContents"/>
              <w:bidi w:val="0"/>
              <w:spacing w:before="0" w:after="0"/>
              <w:jc w:val="center"/>
              <w:rPr>
                <w:rFonts w:ascii="Times New Roman" w:hAnsi="Times New Roman"/>
                <w:sz w:val="20"/>
              </w:rPr>
            </w:pPr>
            <w:r>
              <w:rPr>
                <w:rFonts w:ascii="Times New Roman" w:hAnsi="Times New Roman"/>
                <w:sz w:val="20"/>
              </w:rPr>
              <w:t>Chris Clark, C.F.A.</w:t>
            </w:r>
          </w:p>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pPr>
            <w:r>
              <w:rPr/>
              <w:t>September 21, 2026</w:t>
            </w:r>
          </w:p>
        </w:tc>
      </w:tr>
      <w:tr>
        <w:trPr/>
        <w:tc>
          <w:tcPr>
            <w:tcW w:w="347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J. Tucker</w:t>
            </w:r>
          </w:p>
          <w:p>
            <w:pPr>
              <w:pStyle w:val="TableContents"/>
              <w:bidi w:val="0"/>
              <w:spacing w:before="0" w:after="0"/>
              <w:jc w:val="center"/>
              <w:rPr>
                <w:rFonts w:ascii="Times New Roman" w:hAnsi="Times New Roman"/>
                <w:sz w:val="20"/>
              </w:rPr>
            </w:pPr>
            <w:r>
              <w:rPr>
                <w:rFonts w:ascii="Times New Roman" w:hAnsi="Times New Roman"/>
                <w:sz w:val="20"/>
              </w:rPr>
              <w:t>David J. Tucker</w:t>
            </w:r>
          </w:p>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Finance</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Accounting Officer</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pPr>
            <w:r>
              <w:rPr/>
              <w:t>September 21, 2026</w:t>
            </w:r>
          </w:p>
        </w:tc>
      </w:tr>
      <w:tr>
        <w:trPr/>
        <w:tc>
          <w:tcPr>
            <w:tcW w:w="347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Nancy Stagliano, Ph.D.</w:t>
            </w:r>
          </w:p>
          <w:p>
            <w:pPr>
              <w:pStyle w:val="TableContents"/>
              <w:bidi w:val="0"/>
              <w:spacing w:before="0" w:after="0"/>
              <w:jc w:val="center"/>
              <w:rPr>
                <w:rFonts w:ascii="Times New Roman" w:hAnsi="Times New Roman"/>
                <w:sz w:val="20"/>
              </w:rPr>
            </w:pPr>
            <w:r>
              <w:rPr>
                <w:rFonts w:ascii="Times New Roman" w:hAnsi="Times New Roman"/>
                <w:sz w:val="20"/>
              </w:rPr>
              <w:t>Nancy Stagliano, Ph.D.</w:t>
            </w:r>
          </w:p>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Chairperson</w:t>
            </w:r>
          </w:p>
        </w:tc>
        <w:tc>
          <w:tcPr>
            <w:tcW w:w="121"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pPr>
            <w:r>
              <w:rPr/>
              <w:t>September 21, 2026</w:t>
            </w:r>
          </w:p>
        </w:tc>
      </w:tr>
      <w:tr>
        <w:trPr/>
        <w:tc>
          <w:tcPr>
            <w:tcW w:w="347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Fust, M.B.A.</w:t>
            </w:r>
          </w:p>
          <w:p>
            <w:pPr>
              <w:pStyle w:val="TableContents"/>
              <w:bidi w:val="0"/>
              <w:spacing w:before="0" w:after="0"/>
              <w:jc w:val="center"/>
              <w:rPr>
                <w:rFonts w:ascii="Times New Roman" w:hAnsi="Times New Roman"/>
                <w:sz w:val="20"/>
              </w:rPr>
            </w:pPr>
            <w:r>
              <w:rPr>
                <w:rFonts w:ascii="Times New Roman" w:hAnsi="Times New Roman"/>
                <w:sz w:val="20"/>
              </w:rPr>
              <w:t>Matthew Fust, M.B.A.</w:t>
            </w:r>
          </w:p>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pPr>
            <w:r>
              <w:rPr/>
              <w:t>September 21, 2026</w:t>
            </w:r>
          </w:p>
        </w:tc>
      </w:tr>
      <w:tr>
        <w:trPr/>
        <w:tc>
          <w:tcPr>
            <w:tcW w:w="3472"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Carl L. Gordon, Ph.D., C.F.A.</w:t>
            </w:r>
          </w:p>
        </w:tc>
        <w:tc>
          <w:tcPr>
            <w:tcW w:w="121" w:type="dxa"/>
            <w:vMerge w:val="restart"/>
            <w:tcBorders/>
            <w:vAlign w:val="bottom"/>
          </w:tcPr>
          <w:p>
            <w:pPr>
              <w:pStyle w:val="TableContents"/>
              <w:bidi w:val="0"/>
              <w:spacing w:before="0" w:after="283"/>
              <w:jc w:val="left"/>
              <w:rPr/>
            </w:pPr>
            <w:r>
              <w:rPr/>
              <w:t>  </w:t>
            </w:r>
          </w:p>
        </w:tc>
        <w:tc>
          <w:tcPr>
            <w:tcW w:w="3265" w:type="dxa"/>
            <w:vMerge w:val="restart"/>
            <w:tcBorders/>
          </w:tcPr>
          <w:p>
            <w:pPr>
              <w:pStyle w:val="TableContents"/>
              <w:bidi w:val="0"/>
              <w:spacing w:before="0" w:after="283"/>
              <w:jc w:val="center"/>
              <w:rPr/>
            </w:pPr>
            <w:r>
              <w:rPr/>
              <w:t>Director</w:t>
            </w:r>
          </w:p>
        </w:tc>
        <w:tc>
          <w:tcPr>
            <w:tcW w:w="121" w:type="dxa"/>
            <w:vMerge w:val="restart"/>
            <w:tcBorders/>
            <w:vAlign w:val="bottom"/>
          </w:tcPr>
          <w:p>
            <w:pPr>
              <w:pStyle w:val="TableContents"/>
              <w:bidi w:val="0"/>
              <w:spacing w:before="0" w:after="283"/>
              <w:jc w:val="left"/>
              <w:rPr/>
            </w:pPr>
            <w:r>
              <w:rPr/>
              <w:t>  </w:t>
            </w:r>
          </w:p>
        </w:tc>
        <w:tc>
          <w:tcPr>
            <w:tcW w:w="3226" w:type="dxa"/>
            <w:vMerge w:val="restart"/>
            <w:tcBorders/>
          </w:tcPr>
          <w:p>
            <w:pPr>
              <w:pStyle w:val="TableContents"/>
              <w:bidi w:val="0"/>
              <w:spacing w:before="0" w:after="283"/>
              <w:jc w:val="center"/>
              <w:rPr/>
            </w:pPr>
            <w:r>
              <w:rPr/>
              <w:t>September 21, 2026</w:t>
            </w:r>
          </w:p>
        </w:tc>
      </w:tr>
      <w:tr>
        <w:trPr/>
        <w:tc>
          <w:tcPr>
            <w:tcW w:w="3472" w:type="dxa"/>
            <w:tcBorders/>
          </w:tcPr>
          <w:p>
            <w:pPr>
              <w:pStyle w:val="TableContents"/>
              <w:bidi w:val="0"/>
              <w:spacing w:before="0" w:after="283"/>
              <w:jc w:val="center"/>
              <w:rPr/>
            </w:pPr>
            <w:r>
              <w:rPr/>
              <w:t>Carl L. Gordon, Ph.D., C.F.A.</w:t>
            </w:r>
          </w:p>
        </w:tc>
        <w:tc>
          <w:tcPr>
            <w:tcW w:w="121" w:type="dxa"/>
            <w:vMerge w:val="continue"/>
            <w:tcBorders/>
            <w:vAlign w:val="bottom"/>
          </w:tcPr>
          <w:p>
            <w:pPr>
              <w:pStyle w:val="Normal"/>
              <w:bidi w:val="0"/>
              <w:jc w:val="left"/>
              <w:rPr/>
            </w:pPr>
            <w:r>
              <w:rPr/>
            </w:r>
          </w:p>
        </w:tc>
        <w:tc>
          <w:tcPr>
            <w:tcW w:w="3265" w:type="dxa"/>
            <w:vMerge w:val="continue"/>
            <w:tcBorders/>
            <w:vAlign w:val="bottom"/>
          </w:tcPr>
          <w:p>
            <w:pPr>
              <w:pStyle w:val="Normal"/>
              <w:bidi w:val="0"/>
              <w:jc w:val="left"/>
              <w:rPr/>
            </w:pPr>
            <w:r>
              <w:rPr/>
            </w:r>
          </w:p>
        </w:tc>
        <w:tc>
          <w:tcPr>
            <w:tcW w:w="121" w:type="dxa"/>
            <w:vMerge w:val="continue"/>
            <w:tcBorders/>
            <w:vAlign w:val="bottom"/>
          </w:tcPr>
          <w:p>
            <w:pPr>
              <w:pStyle w:val="Normal"/>
              <w:bidi w:val="0"/>
              <w:jc w:val="left"/>
              <w:rPr/>
            </w:pPr>
            <w:r>
              <w:rPr/>
            </w:r>
          </w:p>
        </w:tc>
        <w:tc>
          <w:tcPr>
            <w:tcW w:w="3226" w:type="dxa"/>
            <w:vMerge w:val="continue"/>
            <w:tcBorders/>
          </w:tcPr>
          <w:p>
            <w:pPr>
              <w:pStyle w:val="Normal"/>
              <w:bidi w:val="0"/>
              <w:jc w:val="left"/>
              <w:rPr/>
            </w:pPr>
            <w:r>
              <w:rPr/>
            </w:r>
          </w:p>
        </w:tc>
      </w:tr>
    </w:tbl>
    <w:p>
      <w:pPr>
        <w:pStyle w:val="TextBody"/>
        <w:bidi w:val="0"/>
        <w:spacing w:before="0" w:after="0"/>
        <w:jc w:val="right"/>
        <w:rPr>
          <w:rFonts w:ascii="Times New Roman" w:hAnsi="Times New Roman"/>
          <w:b/>
          <w:sz w:val="20"/>
        </w:rPr>
      </w:pPr>
      <w:bookmarkStart w:id="3" w:name="d112636dex51.htm"/>
      <w:bookmarkStart w:id="4" w:name="ksd112636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Charles J. Bair </w:t>
      </w:r>
    </w:p>
    <w:p>
      <w:pPr>
        <w:pStyle w:val="TextBody"/>
        <w:bidi w:val="0"/>
        <w:spacing w:before="0" w:after="0"/>
        <w:jc w:val="left"/>
        <w:rPr>
          <w:rFonts w:ascii="Times New Roman" w:hAnsi="Times New Roman"/>
          <w:sz w:val="20"/>
        </w:rPr>
      </w:pPr>
      <w:r>
        <w:rPr>
          <w:rFonts w:ascii="Times New Roman" w:hAnsi="Times New Roman"/>
          <w:sz w:val="20"/>
        </w:rPr>
        <w:t xml:space="preserve">+1 (858) 550 6142 </w:t>
      </w:r>
    </w:p>
    <w:p>
      <w:pPr>
        <w:pStyle w:val="TextBody"/>
        <w:bidi w:val="0"/>
        <w:spacing w:before="0" w:after="0"/>
        <w:jc w:val="left"/>
        <w:rPr>
          <w:rFonts w:ascii="Times New Roman" w:hAnsi="Times New Roman"/>
          <w:sz w:val="20"/>
        </w:rPr>
      </w:pPr>
      <w:r>
        <w:rPr>
          <w:rFonts w:ascii="Times New Roman" w:hAnsi="Times New Roman"/>
          <w:sz w:val="20"/>
        </w:rPr>
        <w:t xml:space="preserve">cbair@cooley.com </w:t>
      </w:r>
    </w:p>
    <w:p>
      <w:pPr>
        <w:pStyle w:val="TextBody"/>
        <w:bidi w:val="0"/>
        <w:spacing w:before="240" w:after="0"/>
        <w:jc w:val="left"/>
        <w:rPr>
          <w:rFonts w:ascii="Times New Roman" w:hAnsi="Times New Roman"/>
          <w:sz w:val="20"/>
        </w:rPr>
      </w:pPr>
      <w:r>
        <w:rPr>
          <w:rFonts w:ascii="Times New Roman" w:hAnsi="Times New Roman"/>
          <w:sz w:val="20"/>
        </w:rPr>
        <w:t xml:space="preserve">September 21, 2026 </w:t>
      </w:r>
    </w:p>
    <w:p>
      <w:pPr>
        <w:pStyle w:val="TextBody"/>
        <w:bidi w:val="0"/>
        <w:spacing w:before="240" w:after="0"/>
        <w:jc w:val="left"/>
        <w:rPr>
          <w:rFonts w:ascii="Times New Roman" w:hAnsi="Times New Roman"/>
          <w:sz w:val="20"/>
        </w:rPr>
      </w:pPr>
      <w:r>
        <w:rPr>
          <w:rFonts w:ascii="Times New Roman" w:hAnsi="Times New Roman"/>
          <w:sz w:val="20"/>
        </w:rPr>
        <w:t xml:space="preserve">Electra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230 E Grand Avenue, Suite S-100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Electra Therapeutics,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by the Company of up to 14,031,209 shares (the “</w:t>
      </w:r>
      <w:r>
        <w:rPr>
          <w:rFonts w:ascii="Times New Roman" w:hAnsi="Times New Roman"/>
          <w:b/>
          <w:i/>
          <w:sz w:val="20"/>
        </w:rPr>
        <w:t>Shares</w:t>
      </w:r>
      <w:r>
        <w:rPr>
          <w:rFonts w:ascii="Times New Roman" w:hAnsi="Times New Roman"/>
          <w:sz w:val="20"/>
        </w:rPr>
        <w:t>”) of its common stock, par value $0.0001 per share (“</w:t>
      </w:r>
      <w:r>
        <w:rPr>
          <w:rFonts w:ascii="Times New Roman" w:hAnsi="Times New Roman"/>
          <w:b/>
          <w:i/>
          <w:sz w:val="20"/>
        </w:rPr>
        <w:t>Common Stock</w:t>
      </w:r>
      <w:r>
        <w:rPr>
          <w:rFonts w:ascii="Times New Roman" w:hAnsi="Times New Roman"/>
          <w:sz w:val="20"/>
        </w:rPr>
        <w:t>”), consisting of (a) 5,357,686 shares of Common Stock issuable pursuant to the Company’s 2022 Stock Plan (the “</w:t>
      </w:r>
      <w:r>
        <w:rPr>
          <w:rFonts w:ascii="Times New Roman" w:hAnsi="Times New Roman"/>
          <w:b/>
          <w:i/>
          <w:sz w:val="20"/>
        </w:rPr>
        <w:t>2022</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(b) 8,061,841 shares of Common Stock issuable pursuant to the Company’s 2026 Equity Incentive Plan (the “</w:t>
      </w:r>
      <w:r>
        <w:rPr>
          <w:rFonts w:ascii="Times New Roman" w:hAnsi="Times New Roman"/>
          <w:b/>
          <w:i/>
          <w:sz w:val="20"/>
        </w:rPr>
        <w:t>2026 Plan</w:t>
      </w:r>
      <w:r>
        <w:rPr>
          <w:rFonts w:ascii="Times New Roman" w:hAnsi="Times New Roman"/>
          <w:sz w:val="20"/>
        </w:rPr>
        <w:t>”) and (c) 611,682 shares of Common Stock issuable pursuant to the Company’s 2026 Employee Stock Purchase Plan (together with the 2022 Plan and the 2026 Plan, the “</w:t>
      </w:r>
      <w:r>
        <w:rPr>
          <w:rFonts w:ascii="Times New Roman" w:hAnsi="Times New Roman"/>
          <w:b/>
          <w:i/>
          <w:sz w:val="20"/>
        </w:rPr>
        <w:t>Plans</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24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Electra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0"/>
        <w:gridCol w:w="3645"/>
      </w:tblGrid>
      <w:tr>
        <w:trPr/>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J. Bair</w:t>
            </w:r>
          </w:p>
        </w:tc>
      </w:tr>
      <w:tr>
        <w:trPr/>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Charles J. Bair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Cooley LLP 10265 Science Center Dr.,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right"/>
        <w:rPr>
          <w:rFonts w:ascii="Times New Roman" w:hAnsi="Times New Roman"/>
          <w:b/>
          <w:sz w:val="20"/>
        </w:rPr>
      </w:pPr>
      <w:bookmarkStart w:id="5" w:name="d112636dex231.htm"/>
      <w:bookmarkStart w:id="6" w:name="ksd112636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2022 Stock Plan, as amended, 2026 Equity Incentive Plan, and 2026 Employee Stock Purchase Plan of Electra Therapeutics, Inc. of our report dated June 26, 2026 (except for the seventh paragraph of Note 1, as to which the date is September 14, 2026), with respect to the financial statements of Electra Therapeutics, Inc. included in Amendment No.1 to the Registration Statement (Form S-1 No. 333-298617) and related Prospectus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Mateo, California </w:t>
      </w:r>
    </w:p>
    <w:p>
      <w:pPr>
        <w:pStyle w:val="TextBody"/>
        <w:bidi w:val="0"/>
        <w:spacing w:before="0" w:after="0"/>
        <w:jc w:val="left"/>
        <w:rPr>
          <w:rFonts w:ascii="Times New Roman" w:hAnsi="Times New Roman"/>
          <w:sz w:val="20"/>
        </w:rPr>
      </w:pPr>
      <w:r>
        <w:rPr>
          <w:rFonts w:ascii="Times New Roman" w:hAnsi="Times New Roman"/>
          <w:sz w:val="20"/>
        </w:rPr>
        <w:t xml:space="preserve">September 21, 2026 </w:t>
      </w:r>
    </w:p>
    <w:p>
      <w:pPr>
        <w:pStyle w:val="Normal"/>
        <w:bidi w:val="0"/>
        <w:spacing w:before="0" w:after="0"/>
        <w:jc w:val="left"/>
        <w:rPr>
          <w:sz w:val="4"/>
          <w:szCs w:val="4"/>
        </w:rPr>
      </w:pPr>
      <w:r>
        <w:rPr>
          <w:sz w:val="4"/>
          <w:szCs w:val="4"/>
        </w:rPr>
      </w:r>
      <w:bookmarkStart w:id="7" w:name="d112636dexfilingfees.htm"/>
      <w:bookmarkStart w:id="8" w:name="ksd112636dexfilingfees"/>
      <w:bookmarkStart w:id="9" w:name="d112636dexfilingfees.htm"/>
      <w:bookmarkStart w:id="10" w:name="ksd112636dexfilingfees"/>
      <w:bookmarkEnd w:id="9"/>
      <w:bookmarkEnd w:id="10"/>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Electra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14" w:type="dxa"/>
        <w:jc w:val="left"/>
        <w:tblInd w:w="0" w:type="dxa"/>
        <w:tblLayout w:type="fixed"/>
        <w:tblCellMar>
          <w:top w:w="28" w:type="dxa"/>
          <w:left w:w="28" w:type="dxa"/>
          <w:bottom w:w="28" w:type="dxa"/>
          <w:right w:w="28" w:type="dxa"/>
        </w:tblCellMar>
      </w:tblPr>
      <w:tblGrid>
        <w:gridCol w:w="241"/>
        <w:gridCol w:w="946"/>
        <w:gridCol w:w="1201"/>
        <w:gridCol w:w="1276"/>
        <w:gridCol w:w="1186"/>
        <w:gridCol w:w="1156"/>
        <w:gridCol w:w="178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Stock, $0.0001 par value per share, issuable upon exercise of outstanding options granted pursuant to the 2022 Stock Plan, as amended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5,357,686 </w:t>
            </w:r>
          </w:p>
        </w:tc>
        <w:tc>
          <w:tcPr>
            <w:tcW w:w="1156" w:type="dxa"/>
            <w:tcBorders/>
            <w:shd w:fill="E7E7E2" w:val="clear"/>
            <w:vAlign w:val="center"/>
          </w:tcPr>
          <w:p>
            <w:pPr>
              <w:pStyle w:val="TableContents"/>
              <w:bidi w:val="0"/>
              <w:spacing w:before="0" w:after="283"/>
              <w:jc w:val="right"/>
              <w:rPr/>
            </w:pPr>
            <w:r>
              <w:rPr/>
              <w:t xml:space="preserve">$ 5.01 </w:t>
            </w:r>
          </w:p>
        </w:tc>
        <w:tc>
          <w:tcPr>
            <w:tcW w:w="1786" w:type="dxa"/>
            <w:tcBorders/>
            <w:shd w:fill="E7E7E2" w:val="clear"/>
            <w:vAlign w:val="center"/>
          </w:tcPr>
          <w:p>
            <w:pPr>
              <w:pStyle w:val="TableContents"/>
              <w:bidi w:val="0"/>
              <w:spacing w:before="0" w:after="283"/>
              <w:jc w:val="right"/>
              <w:rPr/>
            </w:pPr>
            <w:r>
              <w:rPr/>
              <w:t xml:space="preserve">$ 26,842,006.86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$ 3,706.88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Stock, $0.0001 par value per share, reserved for issuance pursuant to the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5,198,658 </w:t>
            </w:r>
          </w:p>
        </w:tc>
        <w:tc>
          <w:tcPr>
            <w:tcW w:w="1156" w:type="dxa"/>
            <w:tcBorders/>
            <w:shd w:fill="E7E7E2" w:val="clear"/>
            <w:vAlign w:val="center"/>
          </w:tcPr>
          <w:p>
            <w:pPr>
              <w:pStyle w:val="TableContents"/>
              <w:bidi w:val="0"/>
              <w:spacing w:before="0" w:after="283"/>
              <w:jc w:val="right"/>
              <w:rPr/>
            </w:pPr>
            <w:r>
              <w:rPr/>
              <w:t xml:space="preserve">$ 15.00 </w:t>
            </w:r>
          </w:p>
        </w:tc>
        <w:tc>
          <w:tcPr>
            <w:tcW w:w="1786" w:type="dxa"/>
            <w:tcBorders/>
            <w:shd w:fill="E7E7E2" w:val="clear"/>
            <w:vAlign w:val="center"/>
          </w:tcPr>
          <w:p>
            <w:pPr>
              <w:pStyle w:val="TableContents"/>
              <w:bidi w:val="0"/>
              <w:spacing w:before="0" w:after="283"/>
              <w:jc w:val="right"/>
              <w:rPr/>
            </w:pPr>
            <w:r>
              <w:rPr/>
              <w:t xml:space="preserve">$ 77,979,870.00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$ 10,769.03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Stock, $0.0001 par value per share, reserved for issuance pursuant to the 2026 Employee Stock Purchase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611,682 </w:t>
            </w:r>
          </w:p>
        </w:tc>
        <w:tc>
          <w:tcPr>
            <w:tcW w:w="1156" w:type="dxa"/>
            <w:tcBorders/>
            <w:shd w:fill="E7E7E2" w:val="clear"/>
            <w:vAlign w:val="center"/>
          </w:tcPr>
          <w:p>
            <w:pPr>
              <w:pStyle w:val="TableContents"/>
              <w:bidi w:val="0"/>
              <w:spacing w:before="0" w:after="283"/>
              <w:jc w:val="right"/>
              <w:rPr/>
            </w:pPr>
            <w:r>
              <w:rPr/>
              <w:t xml:space="preserve">$ 12.75 </w:t>
            </w:r>
          </w:p>
        </w:tc>
        <w:tc>
          <w:tcPr>
            <w:tcW w:w="1786" w:type="dxa"/>
            <w:tcBorders/>
            <w:shd w:fill="E7E7E2" w:val="clear"/>
            <w:vAlign w:val="center"/>
          </w:tcPr>
          <w:p>
            <w:pPr>
              <w:pStyle w:val="TableContents"/>
              <w:bidi w:val="0"/>
              <w:spacing w:before="0" w:after="283"/>
              <w:jc w:val="right"/>
              <w:rPr/>
            </w:pPr>
            <w:r>
              <w:rPr/>
              <w:t xml:space="preserve">$ 7,798,945.50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$ 1,077.04 </w:t>
            </w:r>
          </w:p>
        </w:tc>
      </w:tr>
      <w:tr>
        <w:trPr/>
        <w:tc>
          <w:tcPr>
            <w:tcW w:w="241"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Stock, $0.0001 par value per share, issuable upon exercise of outstanding options granted pursuant to the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2,863,183 </w:t>
            </w:r>
          </w:p>
        </w:tc>
        <w:tc>
          <w:tcPr>
            <w:tcW w:w="1156" w:type="dxa"/>
            <w:tcBorders/>
            <w:shd w:fill="E7E7E2" w:val="clear"/>
            <w:vAlign w:val="center"/>
          </w:tcPr>
          <w:p>
            <w:pPr>
              <w:pStyle w:val="TableContents"/>
              <w:bidi w:val="0"/>
              <w:spacing w:before="0" w:after="283"/>
              <w:jc w:val="right"/>
              <w:rPr/>
            </w:pPr>
            <w:r>
              <w:rPr/>
              <w:t xml:space="preserve">$ 15.00 </w:t>
            </w:r>
          </w:p>
        </w:tc>
        <w:tc>
          <w:tcPr>
            <w:tcW w:w="1786" w:type="dxa"/>
            <w:tcBorders/>
            <w:shd w:fill="E7E7E2" w:val="clear"/>
            <w:vAlign w:val="center"/>
          </w:tcPr>
          <w:p>
            <w:pPr>
              <w:pStyle w:val="TableContents"/>
              <w:bidi w:val="0"/>
              <w:spacing w:before="0" w:after="283"/>
              <w:jc w:val="right"/>
              <w:rPr/>
            </w:pPr>
            <w:r>
              <w:rPr/>
              <w:t xml:space="preserve">$ 42,947,745.00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$ 5,931.09 </w:t>
            </w:r>
          </w:p>
        </w:tc>
      </w:tr>
      <w:tr>
        <w:trPr/>
        <w:tc>
          <w:tcPr>
            <w:tcW w:w="485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1" w:name="MaxAggtOfferingPrice"/>
            <w:bookmarkEnd w:id="11"/>
            <w:r>
              <w:rPr/>
              <w:t xml:space="preserve">$ 155,568,567.36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$ 21,484.04 </w:t>
            </w:r>
          </w:p>
        </w:tc>
      </w:tr>
      <w:tr>
        <w:trPr/>
        <w:tc>
          <w:tcPr>
            <w:tcW w:w="485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5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$ 21,484.04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5"/>
        <w:gridCol w:w="8712"/>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shall also cover any additional shares of Common Stock ("Common Stock") of Electra Therapeutics, Inc. (the "Registrant") that become issuable under the Registrant's 2022 Stock Plan, as amended (the "2022 Plan"), the Registrant's 2026 Equity Incentive Plan (the "2026 Plan"), or the Registrant's 2026 Employee Stock Purchase Plan (the "2026 ESPP") by reason of any stock dividend, stock split, recapitalization or other similar transaction. (B) Estimated solely for the purpose of calculating the amount of the registration fee pursuant to Rule 457(h) of the Securities Act. The proposed maximum aggregate offering price per share and proposed maximum aggregate offering price for the 5,357,686 shares of Common Stock reserved for issuance upon the exercise of outstanding stock options granted under the 2022 Plan are calculated using the weighted-average exercise price of $5.01 per share for such stock options. (C) Represents shares of Common Stock reserved for issuance upon the exercise of outstanding stock options granted under the 2022 Plan. No additional stock awards will be granted under the 2022 Plan. The shares of Common Stock reserved for issuance pursuant to such stock options will become available for issuance under the 2026 Plan to the extent any such shares (i) are not issued because such award or any portion thereof expires or otherwise terminates without all of the Shares covered by such award having been issued; (ii) are not issued because such award or any portion thereof is settled in cash; (iii) are forfeited back to or repurchased by the Company because of the failure to meet a contingency or condition required for the vesting of such award; (iv) are withheld or reacquired to satisfy the exercise, strike or purchase price related to the award; or (v) are withheld or reacquired to satisfy a tax withholding obligation related to the award. See footnote 2(B) below.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(A) Estimated solely for the purpose of calculating the amount of the registration fee pursuant to Rule 457(h) of the Securities Act. The proposed maximum aggregate offering price per share and proposed maximum aggregate offering price are calculated on the basis of $15.00 per share (the "IPO Price"), which is the initial public offering price per share of the Registrant's Common Stock as set forth in the Registrant's registration statement on Form S-1 (File No. 333-298617), as amended (the "S-1 Registration Statement"), that became effective on September 17, 2026. (B) Represents 5,198,658 shares of Common Stock reserved for future grant under the 2026 Plan. The 2026 Plan provides that an additional number of shares will automatically be added annually to the shares authorized for issuance under the 2026 Plan on January 1st of each year, commencing on January 1, 2027 and ending on (and including) January 1, 2036, in an amount equal to 5% of the Fully Diluted Capital Stock (as defined in the 2026 Plan) outstanding on December 31 of the preceding year; provided, however, that the Board may act prior to January 1st of a given year to provide that the increase for such year will be a lesser number of shares of Common Stock. This explanation is provided for information purposes only. The issuance of such additional shares is not being registered on this Registration Statement. In addition, from and following the effective date of the 2026 Plan, to the extent that any stock options outstanding under the 2022 Plan expire, terminate prior to exercise or settlement, are not issued because the award is settled in cash, are forfeited because of the failure to vest (including voluntary cancellation), or are reacquired or withheld (or not issued) to satisfy a tax withholding obligation or the purchase or exercise price, the shares of Common Stock reserved for issuance pursuant to such stock options will become available for issuance under the 2026 Plan. See footnote 1(C) above.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(A) Estimated solely for the purpose of calculating the amount of the registration fee pursuant to Rule 457(h) of the Securities Act. The proposed maximum aggregate offering price per share and proposed maximum aggregate offering price are calculated on the basis of the IPO Price, multiplied by 85%, which is the percentage of the price per share applicable to purchases under the 2026 ESPP. (B) Represents 611,682 shares of Common Stock reserved for future grant under the 2026 ESPP. The 2026 ESPP provides that an additional number of shares of Common Stock will automatically be added annually to the shares authorized for issuance under the 2026 ESPP on January 1st of each year, commencing on January 1, 2027 and ending on (and including) January 1, 2036, in an amount equal to the lesser of (x) 1% of the Fully Diluted Capital Stock (as defined in the 2026 ESPP) outstanding on December 31st of the preceding calendar year, and (y) 1,835,046 shares of Common Stock; provided, however, that the Registrant's board of directors may act prior to January 1st of a given year to provide that there will be no increase in the share reserve for such calendar year or that the increase for such year will be a lesser number of shares of Common Stock than would otherwise occur. This explanation is provided for information purposes only. The issuance of such additional shares is not being registered on this Registration Statement.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(A) Estimated solely for the purpose of calculating the amount of the registration fee pursuant to Rule 457(h) of the Securities Act. The amount registered represents shares of Common Stock that may be issued upon the exercise of outstanding options granted under the 2026 Plan. The proposed maximum aggregate offering price per share and proposed maximum aggregate offering price for the 2,863,183 shares of Common Stock reserved for issuance upon the exercise of outstanding stock options granted under the 2026 Plan are calculated using the weighted-average exercise price of $15.00 per share for such stock options.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88082/000119312526395670/d61940d424b4.htm" TargetMode="External"/><Relationship Id="rId3" Type="http://schemas.openxmlformats.org/officeDocument/2006/relationships/hyperlink" Target="http://www.sec.gov/Archives/edgar/data/2088082/000119312526374259/d61940ds1.htm" TargetMode="External"/><Relationship Id="rId4" Type="http://schemas.openxmlformats.org/officeDocument/2006/relationships/hyperlink" Target="http://www.sec.gov/Archives/edgar/data/2088082/000119312526394994/d174486d8a12b.htm" TargetMode="External"/><Relationship Id="rId5" Type="http://schemas.openxmlformats.org/officeDocument/2006/relationships/hyperlink" Target="http://www.sec.gov/Archives/edgar/data/2088082/000119312526394994/d174486d8a12b.htm" TargetMode="External"/><Relationship Id="rId6" Type="http://schemas.openxmlformats.org/officeDocument/2006/relationships/hyperlink" Target="http://www.sec.gov/Archives/edgar/data/2088082/000119312526396646/d185250dex31.htm" TargetMode="External"/><Relationship Id="rId7" Type="http://schemas.openxmlformats.org/officeDocument/2006/relationships/hyperlink" Target="http://www.sec.gov/Archives/edgar/data/2088082/000119312526374259/d61940dex34.htm" TargetMode="External"/><Relationship Id="rId8" Type="http://schemas.openxmlformats.org/officeDocument/2006/relationships/hyperlink" Target="http://www.sec.gov/Archives/edgar/data/2088082/000119312526389755/d61940dex41.htm" TargetMode="External"/><Relationship Id="rId9" Type="http://schemas.openxmlformats.org/officeDocument/2006/relationships/hyperlink" Target="http://www.sec.gov/Archives/edgar/data/2088082/000119312526374259/d61940dex42.htm" TargetMode="External"/><Relationship Id="rId10" Type="http://schemas.openxmlformats.org/officeDocument/2006/relationships/hyperlink" Target="http://www.sec.gov/Archives/edgar/data/2088082/000119312526374259/d61940dex105.htm" TargetMode="External"/><Relationship Id="rId11" Type="http://schemas.openxmlformats.org/officeDocument/2006/relationships/hyperlink" Target="http://www.sec.gov/Archives/edgar/data/2088082/000119312526374259/d61940dex106.htm" TargetMode="External"/><Relationship Id="rId12" Type="http://schemas.openxmlformats.org/officeDocument/2006/relationships/hyperlink" Target="http://www.sec.gov/Archives/edgar/data/2088082/000119312526389755/d61940dex102.htm" TargetMode="External"/><Relationship Id="rId13" Type="http://schemas.openxmlformats.org/officeDocument/2006/relationships/hyperlink" Target="http://www.sec.gov/Archives/edgar/data/2088082/000119312526374259/d61940dex103.htm" TargetMode="External"/><Relationship Id="rId14" Type="http://schemas.openxmlformats.org/officeDocument/2006/relationships/hyperlink" Target="http://www.sec.gov/Archives/edgar/data/2088082/000119312526389755/d61940dex104.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4668</Words>
  <Characters>25290</Characters>
  <CharactersWithSpaces>30026</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