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381165ds1mef.htm"/>
      <w:bookmarkStart w:id="1" w:name="ksd381165ds1mef"/>
      <w:bookmarkEnd w:id="0"/>
      <w:bookmarkEnd w:id="1"/>
      <w:r>
        <w:rPr>
          <w:rFonts w:ascii="Times New Roman" w:hAnsi="Times New Roman"/>
          <w:b/>
          <w:sz w:val="20"/>
        </w:rPr>
        <w:t xml:space="preserve">As filed with the Securities and Exchange Commission on September 17,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S-1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Electra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2"/>
        <w:gridCol w:w="3265"/>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2836</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83-2193635</w:t>
            </w:r>
          </w:p>
        </w:tc>
      </w:tr>
      <w:tr>
        <w:trPr/>
        <w:tc>
          <w:tcPr>
            <w:tcW w:w="3470"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(Primary Standard Industrial</w:t>
              <w:br/>
              <w:t>Classification Code Number)</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230 E Grand Avenue </w:t>
      </w:r>
    </w:p>
    <w:p>
      <w:pPr>
        <w:pStyle w:val="TextBody"/>
        <w:bidi w:val="0"/>
        <w:spacing w:before="0" w:after="0"/>
        <w:jc w:val="center"/>
        <w:rPr>
          <w:rFonts w:ascii="Times New Roman" w:hAnsi="Times New Roman"/>
          <w:b/>
          <w:sz w:val="20"/>
        </w:rPr>
      </w:pPr>
      <w:r>
        <w:rPr>
          <w:rFonts w:ascii="Times New Roman" w:hAnsi="Times New Roman"/>
          <w:b/>
          <w:sz w:val="20"/>
        </w:rPr>
        <w:t xml:space="preserve">Suite S-100 </w:t>
      </w:r>
    </w:p>
    <w:p>
      <w:pPr>
        <w:pStyle w:val="TextBody"/>
        <w:bidi w:val="0"/>
        <w:spacing w:before="0" w:after="0"/>
        <w:jc w:val="center"/>
        <w:rPr>
          <w:rFonts w:ascii="Times New Roman" w:hAnsi="Times New Roman"/>
          <w:b/>
          <w:sz w:val="20"/>
        </w:rPr>
      </w:pPr>
      <w:r>
        <w:rPr>
          <w:rFonts w:ascii="Times New Roman" w:hAnsi="Times New Roman"/>
          <w:b/>
          <w:sz w:val="20"/>
        </w:rPr>
        <w:t xml:space="preserve">South San Francisco, California 94080 </w:t>
      </w:r>
    </w:p>
    <w:p>
      <w:pPr>
        <w:pStyle w:val="TextBody"/>
        <w:bidi w:val="0"/>
        <w:spacing w:before="0" w:after="0"/>
        <w:jc w:val="center"/>
        <w:rPr>
          <w:rFonts w:ascii="Times New Roman" w:hAnsi="Times New Roman"/>
          <w:b/>
          <w:sz w:val="20"/>
        </w:rPr>
      </w:pPr>
      <w:r>
        <w:rPr>
          <w:rFonts w:ascii="Times New Roman" w:hAnsi="Times New Roman"/>
          <w:b/>
          <w:sz w:val="20"/>
        </w:rPr>
        <w:t xml:space="preserve">(888) 743-2290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Quehuong (Kathy) Dong, Pharm.D., M.B.A.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and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230 E Grand Avenue </w:t>
      </w:r>
    </w:p>
    <w:p>
      <w:pPr>
        <w:pStyle w:val="TextBody"/>
        <w:bidi w:val="0"/>
        <w:spacing w:before="0" w:after="0"/>
        <w:jc w:val="center"/>
        <w:rPr>
          <w:rFonts w:ascii="Times New Roman" w:hAnsi="Times New Roman"/>
          <w:b/>
          <w:sz w:val="20"/>
        </w:rPr>
      </w:pPr>
      <w:r>
        <w:rPr>
          <w:rFonts w:ascii="Times New Roman" w:hAnsi="Times New Roman"/>
          <w:b/>
          <w:sz w:val="20"/>
        </w:rPr>
        <w:t xml:space="preserve">Suite S-100 </w:t>
      </w:r>
    </w:p>
    <w:p>
      <w:pPr>
        <w:pStyle w:val="TextBody"/>
        <w:bidi w:val="0"/>
        <w:spacing w:before="0" w:after="0"/>
        <w:jc w:val="center"/>
        <w:rPr>
          <w:rFonts w:ascii="Times New Roman" w:hAnsi="Times New Roman"/>
          <w:b/>
          <w:sz w:val="20"/>
        </w:rPr>
      </w:pPr>
      <w:r>
        <w:rPr>
          <w:rFonts w:ascii="Times New Roman" w:hAnsi="Times New Roman"/>
          <w:b/>
          <w:sz w:val="20"/>
        </w:rPr>
        <w:t xml:space="preserve">South San Francisco, California 94080 </w:t>
      </w:r>
    </w:p>
    <w:p>
      <w:pPr>
        <w:pStyle w:val="TextBody"/>
        <w:bidi w:val="0"/>
        <w:spacing w:before="0" w:after="0"/>
        <w:jc w:val="center"/>
        <w:rPr>
          <w:rFonts w:ascii="Times New Roman" w:hAnsi="Times New Roman"/>
          <w:b/>
          <w:sz w:val="20"/>
        </w:rPr>
      </w:pPr>
      <w:r>
        <w:rPr>
          <w:rFonts w:ascii="Times New Roman" w:hAnsi="Times New Roman"/>
          <w:b/>
          <w:sz w:val="20"/>
        </w:rPr>
        <w:t xml:space="preserve">(888) 743-2290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0"/>
              <w:jc w:val="center"/>
              <w:rPr>
                <w:rFonts w:ascii="Times New Roman" w:hAnsi="Times New Roman"/>
                <w:b/>
                <w:sz w:val="20"/>
              </w:rPr>
            </w:pPr>
            <w:r>
              <w:rPr>
                <w:rFonts w:ascii="Times New Roman" w:hAnsi="Times New Roman"/>
                <w:b/>
                <w:sz w:val="20"/>
              </w:rPr>
              <w:t>Charles J. Bair</w:t>
            </w:r>
          </w:p>
          <w:p>
            <w:pPr>
              <w:pStyle w:val="TableContents"/>
              <w:bidi w:val="0"/>
              <w:spacing w:before="0" w:after="0"/>
              <w:jc w:val="center"/>
              <w:rPr>
                <w:rFonts w:ascii="Times New Roman" w:hAnsi="Times New Roman"/>
                <w:b/>
                <w:sz w:val="20"/>
              </w:rPr>
            </w:pPr>
            <w:r>
              <w:rPr>
                <w:rFonts w:ascii="Times New Roman" w:hAnsi="Times New Roman"/>
                <w:b/>
                <w:sz w:val="20"/>
              </w:rPr>
              <w:t>Charles S. Kim</w:t>
            </w:r>
          </w:p>
          <w:p>
            <w:pPr>
              <w:pStyle w:val="TableContents"/>
              <w:bidi w:val="0"/>
              <w:spacing w:before="0" w:after="0"/>
              <w:jc w:val="center"/>
              <w:rPr>
                <w:rFonts w:ascii="Times New Roman" w:hAnsi="Times New Roman"/>
                <w:b/>
                <w:sz w:val="20"/>
              </w:rPr>
            </w:pPr>
            <w:r>
              <w:rPr>
                <w:rFonts w:ascii="Times New Roman" w:hAnsi="Times New Roman"/>
                <w:b/>
                <w:sz w:val="20"/>
              </w:rPr>
              <w:t>Sara Semnani</w:t>
            </w:r>
          </w:p>
          <w:p>
            <w:pPr>
              <w:pStyle w:val="TableContents"/>
              <w:bidi w:val="0"/>
              <w:spacing w:before="0" w:after="0"/>
              <w:jc w:val="center"/>
              <w:rPr>
                <w:rFonts w:ascii="Times New Roman" w:hAnsi="Times New Roman"/>
                <w:b/>
                <w:sz w:val="20"/>
              </w:rPr>
            </w:pPr>
            <w:r>
              <w:rPr>
                <w:rFonts w:ascii="Times New Roman" w:hAnsi="Times New Roman"/>
                <w:b/>
                <w:sz w:val="20"/>
              </w:rPr>
              <w:t>Dylan Kornbluth</w:t>
            </w:r>
          </w:p>
          <w:p>
            <w:pPr>
              <w:pStyle w:val="TableContents"/>
              <w:bidi w:val="0"/>
              <w:spacing w:before="0" w:after="0"/>
              <w:jc w:val="center"/>
              <w:rPr>
                <w:rFonts w:ascii="Times New Roman" w:hAnsi="Times New Roman"/>
                <w:b/>
                <w:sz w:val="20"/>
              </w:rPr>
            </w:pPr>
            <w:r>
              <w:rPr>
                <w:rFonts w:ascii="Times New Roman" w:hAnsi="Times New Roman"/>
                <w:b/>
                <w:sz w:val="20"/>
              </w:rPr>
              <w:t>Cooley LLP</w:t>
            </w:r>
          </w:p>
          <w:p>
            <w:pPr>
              <w:pStyle w:val="TableContents"/>
              <w:bidi w:val="0"/>
              <w:spacing w:before="0" w:after="0"/>
              <w:jc w:val="center"/>
              <w:rPr>
                <w:rFonts w:ascii="Times New Roman" w:hAnsi="Times New Roman"/>
                <w:b/>
                <w:sz w:val="20"/>
              </w:rPr>
            </w:pPr>
            <w:r>
              <w:rPr>
                <w:rFonts w:ascii="Times New Roman" w:hAnsi="Times New Roman"/>
                <w:b/>
                <w:sz w:val="20"/>
              </w:rPr>
              <w:t>10265 Science Center Drive</w:t>
            </w:r>
          </w:p>
          <w:p>
            <w:pPr>
              <w:pStyle w:val="TableContents"/>
              <w:bidi w:val="0"/>
              <w:spacing w:before="0" w:after="0"/>
              <w:jc w:val="center"/>
              <w:rPr>
                <w:rFonts w:ascii="Times New Roman" w:hAnsi="Times New Roman"/>
                <w:b/>
                <w:sz w:val="20"/>
              </w:rPr>
            </w:pPr>
            <w:r>
              <w:rPr>
                <w:rFonts w:ascii="Times New Roman" w:hAnsi="Times New Roman"/>
                <w:b/>
                <w:sz w:val="20"/>
              </w:rPr>
              <w:t>San Diego, California 92121</w:t>
            </w:r>
          </w:p>
          <w:p>
            <w:pPr>
              <w:pStyle w:val="TableContents"/>
              <w:bidi w:val="0"/>
              <w:spacing w:before="0" w:after="20"/>
              <w:jc w:val="center"/>
              <w:rPr>
                <w:rFonts w:ascii="Times New Roman" w:hAnsi="Times New Roman"/>
                <w:b/>
                <w:sz w:val="20"/>
              </w:rPr>
            </w:pPr>
            <w:r>
              <w:rPr>
                <w:rFonts w:ascii="Times New Roman" w:hAnsi="Times New Roman"/>
                <w:b/>
                <w:sz w:val="20"/>
              </w:rPr>
              <w:t>(858) 550-6000</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20"/>
              </w:rPr>
            </w:pPr>
            <w:r>
              <w:rPr>
                <w:rFonts w:ascii="Times New Roman" w:hAnsi="Times New Roman"/>
                <w:b/>
                <w:sz w:val="20"/>
              </w:rPr>
              <w:t>Chris Clark, C.F.A.</w:t>
            </w:r>
          </w:p>
          <w:p>
            <w:pPr>
              <w:pStyle w:val="TableContents"/>
              <w:bidi w:val="0"/>
              <w:spacing w:before="0" w:after="0"/>
              <w:jc w:val="center"/>
              <w:rPr>
                <w:rFonts w:ascii="Times New Roman" w:hAnsi="Times New Roman"/>
                <w:b/>
                <w:sz w:val="20"/>
              </w:rPr>
            </w:pPr>
            <w:r>
              <w:rPr>
                <w:rFonts w:ascii="Times New Roman" w:hAnsi="Times New Roman"/>
                <w:b/>
                <w:sz w:val="20"/>
              </w:rPr>
              <w:t>Chief Financial Officer</w:t>
            </w:r>
          </w:p>
          <w:p>
            <w:pPr>
              <w:pStyle w:val="TableContents"/>
              <w:bidi w:val="0"/>
              <w:spacing w:before="0" w:after="0"/>
              <w:jc w:val="center"/>
              <w:rPr>
                <w:rFonts w:ascii="Times New Roman" w:hAnsi="Times New Roman"/>
                <w:b/>
                <w:sz w:val="20"/>
              </w:rPr>
            </w:pPr>
            <w:r>
              <w:rPr>
                <w:rFonts w:ascii="Times New Roman" w:hAnsi="Times New Roman"/>
                <w:b/>
                <w:sz w:val="20"/>
              </w:rPr>
              <w:t>Electra Therapeutics, Inc.</w:t>
            </w:r>
          </w:p>
          <w:p>
            <w:pPr>
              <w:pStyle w:val="TableContents"/>
              <w:bidi w:val="0"/>
              <w:spacing w:before="0" w:after="0"/>
              <w:jc w:val="center"/>
              <w:rPr>
                <w:rFonts w:ascii="Times New Roman" w:hAnsi="Times New Roman"/>
                <w:b/>
                <w:sz w:val="20"/>
              </w:rPr>
            </w:pPr>
            <w:r>
              <w:rPr>
                <w:rFonts w:ascii="Times New Roman" w:hAnsi="Times New Roman"/>
                <w:b/>
                <w:sz w:val="20"/>
              </w:rPr>
              <w:t>230 E Grand Avenue</w:t>
            </w:r>
          </w:p>
          <w:p>
            <w:pPr>
              <w:pStyle w:val="TableContents"/>
              <w:bidi w:val="0"/>
              <w:spacing w:before="0" w:after="0"/>
              <w:jc w:val="center"/>
              <w:rPr>
                <w:rFonts w:ascii="Times New Roman" w:hAnsi="Times New Roman"/>
                <w:b/>
                <w:sz w:val="20"/>
              </w:rPr>
            </w:pPr>
            <w:r>
              <w:rPr>
                <w:rFonts w:ascii="Times New Roman" w:hAnsi="Times New Roman"/>
                <w:b/>
                <w:sz w:val="20"/>
              </w:rPr>
              <w:t>Suite S-100</w:t>
            </w:r>
          </w:p>
          <w:p>
            <w:pPr>
              <w:pStyle w:val="TableContents"/>
              <w:bidi w:val="0"/>
              <w:spacing w:before="0" w:after="0"/>
              <w:jc w:val="center"/>
              <w:rPr>
                <w:rFonts w:ascii="Times New Roman" w:hAnsi="Times New Roman"/>
                <w:b/>
                <w:sz w:val="20"/>
              </w:rPr>
            </w:pPr>
            <w:r>
              <w:rPr>
                <w:rFonts w:ascii="Times New Roman" w:hAnsi="Times New Roman"/>
                <w:b/>
                <w:sz w:val="20"/>
              </w:rPr>
              <w:t>South San Francisco, California 94080</w:t>
            </w:r>
          </w:p>
          <w:p>
            <w:pPr>
              <w:pStyle w:val="TableContents"/>
              <w:bidi w:val="0"/>
              <w:spacing w:before="0" w:after="20"/>
              <w:jc w:val="center"/>
              <w:rPr>
                <w:rFonts w:ascii="Times New Roman" w:hAnsi="Times New Roman"/>
                <w:b/>
                <w:sz w:val="20"/>
              </w:rPr>
            </w:pPr>
            <w:r>
              <w:rPr>
                <w:rFonts w:ascii="Times New Roman" w:hAnsi="Times New Roman"/>
                <w:b/>
                <w:sz w:val="20"/>
              </w:rPr>
              <w:t>(888) 743-2290</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20"/>
              </w:rPr>
            </w:pPr>
            <w:r>
              <w:rPr>
                <w:rFonts w:ascii="Times New Roman" w:hAnsi="Times New Roman"/>
                <w:b/>
                <w:sz w:val="20"/>
              </w:rPr>
              <w:t>Matthew T. Bush</w:t>
            </w:r>
          </w:p>
          <w:p>
            <w:pPr>
              <w:pStyle w:val="TableContents"/>
              <w:bidi w:val="0"/>
              <w:spacing w:before="0" w:after="0"/>
              <w:jc w:val="center"/>
              <w:rPr>
                <w:rFonts w:ascii="Times New Roman" w:hAnsi="Times New Roman"/>
                <w:b/>
                <w:sz w:val="20"/>
              </w:rPr>
            </w:pPr>
            <w:r>
              <w:rPr>
                <w:rFonts w:ascii="Times New Roman" w:hAnsi="Times New Roman"/>
                <w:b/>
                <w:sz w:val="20"/>
              </w:rPr>
              <w:t>Latham &amp; Watkins LLP</w:t>
            </w:r>
          </w:p>
          <w:p>
            <w:pPr>
              <w:pStyle w:val="TableContents"/>
              <w:bidi w:val="0"/>
              <w:spacing w:before="0" w:after="0"/>
              <w:jc w:val="center"/>
              <w:rPr>
                <w:rFonts w:ascii="Times New Roman" w:hAnsi="Times New Roman"/>
                <w:b/>
                <w:sz w:val="20"/>
              </w:rPr>
            </w:pPr>
            <w:r>
              <w:rPr>
                <w:rFonts w:ascii="Times New Roman" w:hAnsi="Times New Roman"/>
                <w:b/>
                <w:sz w:val="20"/>
              </w:rPr>
              <w:t>12670 High Bluff Drive</w:t>
            </w:r>
          </w:p>
          <w:p>
            <w:pPr>
              <w:pStyle w:val="TableContents"/>
              <w:bidi w:val="0"/>
              <w:spacing w:before="0" w:after="0"/>
              <w:jc w:val="center"/>
              <w:rPr>
                <w:rFonts w:ascii="Times New Roman" w:hAnsi="Times New Roman"/>
                <w:b/>
                <w:sz w:val="20"/>
              </w:rPr>
            </w:pPr>
            <w:r>
              <w:rPr>
                <w:rFonts w:ascii="Times New Roman" w:hAnsi="Times New Roman"/>
                <w:b/>
                <w:sz w:val="20"/>
              </w:rPr>
              <w:t>San Diego, California 92130</w:t>
            </w:r>
          </w:p>
          <w:p>
            <w:pPr>
              <w:pStyle w:val="TableContents"/>
              <w:bidi w:val="0"/>
              <w:spacing w:before="0" w:after="20"/>
              <w:jc w:val="center"/>
              <w:rPr>
                <w:rFonts w:ascii="Times New Roman" w:hAnsi="Times New Roman"/>
                <w:b/>
                <w:sz w:val="20"/>
              </w:rPr>
            </w:pPr>
            <w:r>
              <w:rPr>
                <w:rFonts w:ascii="Times New Roman" w:hAnsi="Times New Roman"/>
                <w:b/>
                <w:sz w:val="20"/>
              </w:rPr>
              <w:t>(858) 523-5400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b/>
          <w:sz w:val="20"/>
        </w:rPr>
        <w:t xml:space="preserve">Approximate date of commencement of proposed sale to the public: </w:t>
      </w:r>
      <w:r>
        <w:rPr>
          <w:rFonts w:ascii="Times New Roman" w:hAnsi="Times New Roman"/>
          <w:sz w:val="20"/>
        </w:rPr>
        <w:t xml:space="preserve">As soon as practicable after this Registration Statement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If any of the securities being registered on this Form are to be offered on a delayed or continuous basis pursuant to Rule 415 under the Securities Act of 1933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(333-298617)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The Registration Statement shall become effective upon filing in accordance with Rule 462(b) promulgated under the Securities Act of 1933, as amended.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AND INCORPORATION BY REFERENCE </w:t>
      </w:r>
    </w:p>
    <w:p>
      <w:pPr>
        <w:pStyle w:val="TextBody"/>
        <w:bidi w:val="0"/>
        <w:spacing w:before="240" w:after="0"/>
        <w:jc w:val="left"/>
        <w:rPr>
          <w:rFonts w:ascii="Times New Roman" w:hAnsi="Times New Roman"/>
          <w:sz w:val="20"/>
        </w:rPr>
      </w:pPr>
      <w:r>
        <w:rPr>
          <w:rFonts w:ascii="Times New Roman" w:hAnsi="Times New Roman"/>
          <w:sz w:val="20"/>
        </w:rPr>
        <w:t>This Registration Statement is being filed pursuant to Rule 462(b) under the Securities Act of 1933, as amended (the “</w:t>
      </w:r>
      <w:r>
        <w:rPr>
          <w:rFonts w:ascii="Times New Roman" w:hAnsi="Times New Roman"/>
          <w:b/>
          <w:i/>
          <w:sz w:val="20"/>
        </w:rPr>
        <w:t>Securities Act</w:t>
      </w:r>
      <w:r>
        <w:rPr>
          <w:rFonts w:ascii="Times New Roman" w:hAnsi="Times New Roman"/>
          <w:sz w:val="20"/>
        </w:rPr>
        <w:t>”), by Electra Therapeutics, Inc. (the “</w:t>
      </w:r>
      <w:r>
        <w:rPr>
          <w:rFonts w:ascii="Times New Roman" w:hAnsi="Times New Roman"/>
          <w:b/>
          <w:i/>
          <w:sz w:val="20"/>
        </w:rPr>
        <w:t>Registrant</w:t>
      </w:r>
      <w:r>
        <w:rPr>
          <w:rFonts w:ascii="Times New Roman" w:hAnsi="Times New Roman"/>
          <w:sz w:val="20"/>
        </w:rPr>
        <w:t>”), for the sole purpose of increasing the aggregate number of shares of common stock offered and registered by the Earlier Registration Statement (as defined below) by 1,916,667 shares, 250,000 of which are subject to purchase upon exercise of the underwriters’ option to purchase additional shares of the Registrant’s common stock. The contents of the Registration Statement on Form S-1, as amended (File No. 333-298617), including all exhibits thereto (the “</w:t>
      </w:r>
      <w:r>
        <w:rPr>
          <w:rFonts w:ascii="Times New Roman" w:hAnsi="Times New Roman"/>
          <w:b/>
          <w:i/>
          <w:sz w:val="20"/>
        </w:rPr>
        <w:t>Earlier Registration Statement</w:t>
      </w:r>
      <w:r>
        <w:rPr>
          <w:rFonts w:ascii="Times New Roman" w:hAnsi="Times New Roman"/>
          <w:sz w:val="20"/>
        </w:rPr>
        <w:t>”), filed by the Registrant with the Securities and Exchange Commission (the “</w:t>
      </w:r>
      <w:r>
        <w:rPr>
          <w:rFonts w:ascii="Times New Roman" w:hAnsi="Times New Roman"/>
          <w:b/>
          <w:i/>
          <w:sz w:val="20"/>
        </w:rPr>
        <w:t>Commission</w:t>
      </w:r>
      <w:r>
        <w:rPr>
          <w:rFonts w:ascii="Times New Roman" w:hAnsi="Times New Roman"/>
          <w:sz w:val="20"/>
        </w:rPr>
        <w:t xml:space="preserve">”) pursuant to the Securities Act, which was declared effective by the Commission on September 17, 2026, are incorporated by reference into this Registration Statement. The additional shares of common stock that are being registered for issuance and sale pursuant to this Registration Statement are in an amount and at a price that together represent no more than 20% of the maximum aggregate offering price set forth in Exhibit 107 of the Earlier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required opinion and consents are listed on an Exhibit Index attached hereto and filed herewith. </w:t>
      </w:r>
    </w:p>
    <w:p>
      <w:pPr>
        <w:pStyle w:val="TextBody"/>
        <w:bidi w:val="0"/>
        <w:spacing w:before="48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0"/>
        <w:gridCol w:w="335"/>
        <w:gridCol w:w="9170"/>
      </w:tblGrid>
      <w:tr>
        <w:trPr/>
        <w:tc>
          <w:tcPr>
            <w:tcW w:w="700"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9170" w:type="dxa"/>
            <w:tcBorders/>
            <w:vAlign w:val="center"/>
          </w:tcPr>
          <w:p>
            <w:pPr>
              <w:pStyle w:val="TableContents"/>
              <w:bidi w:val="0"/>
              <w:spacing w:before="0" w:after="283"/>
              <w:jc w:val="left"/>
              <w:rPr>
                <w:sz w:val="4"/>
                <w:szCs w:val="4"/>
              </w:rPr>
            </w:pPr>
            <w:r>
              <w:rPr>
                <w:sz w:val="4"/>
                <w:szCs w:val="4"/>
              </w:rPr>
            </w:r>
          </w:p>
        </w:tc>
      </w:tr>
      <w:tr>
        <w:trPr/>
        <w:tc>
          <w:tcPr>
            <w:tcW w:w="70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335" w:type="dxa"/>
            <w:tcBorders/>
            <w:vAlign w:val="bottom"/>
          </w:tcPr>
          <w:p>
            <w:pPr>
              <w:pStyle w:val="TableContents"/>
              <w:bidi w:val="0"/>
              <w:spacing w:before="0" w:after="283"/>
              <w:jc w:val="left"/>
              <w:rPr/>
            </w:pPr>
            <w:r>
              <w:rPr/>
              <w:t>  </w:t>
            </w:r>
          </w:p>
        </w:tc>
        <w:tc>
          <w:tcPr>
            <w:tcW w:w="91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00" w:type="dxa"/>
            <w:tcBorders/>
            <w:vAlign w:val="center"/>
          </w:tcPr>
          <w:p>
            <w:pPr>
              <w:pStyle w:val="TableContents"/>
              <w:bidi w:val="0"/>
              <w:spacing w:before="0" w:after="283"/>
              <w:jc w:val="left"/>
              <w:rPr>
                <w:sz w:val="4"/>
                <w:szCs w:val="4"/>
              </w:rPr>
            </w:pPr>
            <w:r>
              <w:rPr>
                <w:sz w:val="4"/>
                <w:szCs w:val="4"/>
              </w:rPr>
            </w:r>
          </w:p>
        </w:tc>
        <w:tc>
          <w:tcPr>
            <w:tcW w:w="9505"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tcPr>
          <w:p>
            <w:pPr>
              <w:pStyle w:val="TableContents"/>
              <w:bidi w:val="0"/>
              <w:spacing w:before="0" w:after="283"/>
              <w:jc w:val="left"/>
              <w:rPr/>
            </w:pPr>
            <w:r>
              <w:rPr/>
              <w:t>  </w:t>
            </w:r>
            <w:r>
              <w:rPr/>
              <w:t>5.1</w:t>
            </w:r>
          </w:p>
        </w:tc>
        <w:tc>
          <w:tcPr>
            <w:tcW w:w="335" w:type="dxa"/>
            <w:tcBorders/>
            <w:vAlign w:val="bottom"/>
          </w:tcPr>
          <w:p>
            <w:pPr>
              <w:pStyle w:val="TableContents"/>
              <w:bidi w:val="0"/>
              <w:spacing w:before="0" w:after="283"/>
              <w:jc w:val="left"/>
              <w:rPr/>
            </w:pPr>
            <w:r>
              <w:rPr/>
              <w:t>  </w:t>
            </w:r>
          </w:p>
        </w:tc>
        <w:tc>
          <w:tcPr>
            <w:tcW w:w="9170" w:type="dxa"/>
            <w:tcBorders/>
          </w:tcPr>
          <w:p>
            <w:pPr>
              <w:pStyle w:val="TableContents"/>
              <w:bidi w:val="0"/>
              <w:spacing w:before="0" w:after="283"/>
              <w:jc w:val="left"/>
              <w:rPr/>
            </w:pPr>
            <w:hyperlink w:anchor="d381165dex51.htm">
              <w:r>
                <w:rPr>
                  <w:rStyle w:val="InternetLink"/>
                </w:rPr>
                <w:t xml:space="preserve">Opinion of Cooley LLP. </w:t>
              </w:r>
            </w:hyperlink>
          </w:p>
        </w:tc>
      </w:tr>
      <w:tr>
        <w:trPr>
          <w:trHeight w:val="120" w:hRule="atLeast"/>
        </w:trPr>
        <w:tc>
          <w:tcPr>
            <w:tcW w:w="700" w:type="dxa"/>
            <w:tcBorders/>
            <w:vAlign w:val="center"/>
          </w:tcPr>
          <w:p>
            <w:pPr>
              <w:pStyle w:val="TableContents"/>
              <w:bidi w:val="0"/>
              <w:spacing w:before="0" w:after="283"/>
              <w:jc w:val="left"/>
              <w:rPr>
                <w:sz w:val="4"/>
                <w:szCs w:val="4"/>
              </w:rPr>
            </w:pPr>
            <w:r>
              <w:rPr>
                <w:sz w:val="4"/>
                <w:szCs w:val="4"/>
              </w:rPr>
            </w:r>
          </w:p>
        </w:tc>
        <w:tc>
          <w:tcPr>
            <w:tcW w:w="9505"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tcPr>
          <w:p>
            <w:pPr>
              <w:pStyle w:val="TableContents"/>
              <w:bidi w:val="0"/>
              <w:spacing w:before="0" w:after="283"/>
              <w:jc w:val="left"/>
              <w:rPr/>
            </w:pPr>
            <w:r>
              <w:rPr/>
              <w:t> </w:t>
            </w:r>
            <w:r>
              <w:rPr/>
              <w:t>23.1</w:t>
            </w:r>
          </w:p>
        </w:tc>
        <w:tc>
          <w:tcPr>
            <w:tcW w:w="335" w:type="dxa"/>
            <w:tcBorders/>
            <w:vAlign w:val="bottom"/>
          </w:tcPr>
          <w:p>
            <w:pPr>
              <w:pStyle w:val="TableContents"/>
              <w:bidi w:val="0"/>
              <w:spacing w:before="0" w:after="283"/>
              <w:jc w:val="left"/>
              <w:rPr/>
            </w:pPr>
            <w:r>
              <w:rPr/>
              <w:t>  </w:t>
            </w:r>
          </w:p>
        </w:tc>
        <w:tc>
          <w:tcPr>
            <w:tcW w:w="9170" w:type="dxa"/>
            <w:tcBorders/>
          </w:tcPr>
          <w:p>
            <w:pPr>
              <w:pStyle w:val="TableContents"/>
              <w:bidi w:val="0"/>
              <w:spacing w:before="0" w:after="283"/>
              <w:jc w:val="left"/>
              <w:rPr/>
            </w:pPr>
            <w:hyperlink w:anchor="d381165dex231.htm">
              <w:r>
                <w:rPr>
                  <w:rStyle w:val="InternetLink"/>
                </w:rPr>
                <w:t xml:space="preserve">Consent of Independent registered public accounting firm. </w:t>
              </w:r>
            </w:hyperlink>
          </w:p>
        </w:tc>
      </w:tr>
      <w:tr>
        <w:trPr>
          <w:trHeight w:val="120" w:hRule="atLeast"/>
        </w:trPr>
        <w:tc>
          <w:tcPr>
            <w:tcW w:w="700" w:type="dxa"/>
            <w:tcBorders/>
            <w:vAlign w:val="center"/>
          </w:tcPr>
          <w:p>
            <w:pPr>
              <w:pStyle w:val="TableContents"/>
              <w:bidi w:val="0"/>
              <w:spacing w:before="0" w:after="283"/>
              <w:jc w:val="left"/>
              <w:rPr>
                <w:sz w:val="4"/>
                <w:szCs w:val="4"/>
              </w:rPr>
            </w:pPr>
            <w:r>
              <w:rPr>
                <w:sz w:val="4"/>
                <w:szCs w:val="4"/>
              </w:rPr>
            </w:r>
          </w:p>
        </w:tc>
        <w:tc>
          <w:tcPr>
            <w:tcW w:w="9505"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tcPr>
          <w:p>
            <w:pPr>
              <w:pStyle w:val="TableContents"/>
              <w:bidi w:val="0"/>
              <w:spacing w:before="0" w:after="283"/>
              <w:jc w:val="left"/>
              <w:rPr/>
            </w:pPr>
            <w:r>
              <w:rPr/>
              <w:t> </w:t>
            </w:r>
            <w:r>
              <w:rPr/>
              <w:t>23.2</w:t>
            </w:r>
          </w:p>
        </w:tc>
        <w:tc>
          <w:tcPr>
            <w:tcW w:w="335" w:type="dxa"/>
            <w:tcBorders/>
            <w:vAlign w:val="bottom"/>
          </w:tcPr>
          <w:p>
            <w:pPr>
              <w:pStyle w:val="TableContents"/>
              <w:bidi w:val="0"/>
              <w:spacing w:before="0" w:after="283"/>
              <w:jc w:val="left"/>
              <w:rPr/>
            </w:pPr>
            <w:r>
              <w:rPr/>
              <w:t>  </w:t>
            </w:r>
          </w:p>
        </w:tc>
        <w:tc>
          <w:tcPr>
            <w:tcW w:w="9170" w:type="dxa"/>
            <w:tcBorders/>
          </w:tcPr>
          <w:p>
            <w:pPr>
              <w:pStyle w:val="TableContents"/>
              <w:bidi w:val="0"/>
              <w:spacing w:before="0" w:after="283"/>
              <w:jc w:val="left"/>
              <w:rPr/>
            </w:pPr>
            <w:hyperlink w:anchor="d381165dex51.htm">
              <w:r>
                <w:rPr>
                  <w:rStyle w:val="InternetLink"/>
                </w:rPr>
                <w:t xml:space="preserve">Consent of Cooley LLP (included in Exhibit 5.1). </w:t>
              </w:r>
            </w:hyperlink>
          </w:p>
        </w:tc>
      </w:tr>
      <w:tr>
        <w:trPr>
          <w:trHeight w:val="120" w:hRule="atLeast"/>
        </w:trPr>
        <w:tc>
          <w:tcPr>
            <w:tcW w:w="700" w:type="dxa"/>
            <w:tcBorders/>
            <w:vAlign w:val="center"/>
          </w:tcPr>
          <w:p>
            <w:pPr>
              <w:pStyle w:val="TableContents"/>
              <w:bidi w:val="0"/>
              <w:spacing w:before="0" w:after="283"/>
              <w:jc w:val="left"/>
              <w:rPr>
                <w:sz w:val="4"/>
                <w:szCs w:val="4"/>
              </w:rPr>
            </w:pPr>
            <w:r>
              <w:rPr>
                <w:sz w:val="4"/>
                <w:szCs w:val="4"/>
              </w:rPr>
            </w:r>
          </w:p>
        </w:tc>
        <w:tc>
          <w:tcPr>
            <w:tcW w:w="9505"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tcPr>
          <w:p>
            <w:pPr>
              <w:pStyle w:val="TableContents"/>
              <w:bidi w:val="0"/>
              <w:spacing w:before="0" w:after="283"/>
              <w:jc w:val="left"/>
              <w:rPr/>
            </w:pPr>
            <w:r>
              <w:rPr/>
              <w:t> </w:t>
            </w:r>
            <w:r>
              <w:rPr/>
              <w:t>24.1*</w:t>
            </w:r>
          </w:p>
        </w:tc>
        <w:tc>
          <w:tcPr>
            <w:tcW w:w="335" w:type="dxa"/>
            <w:tcBorders/>
            <w:vAlign w:val="bottom"/>
          </w:tcPr>
          <w:p>
            <w:pPr>
              <w:pStyle w:val="TableContents"/>
              <w:bidi w:val="0"/>
              <w:spacing w:before="0" w:after="283"/>
              <w:jc w:val="left"/>
              <w:rPr/>
            </w:pPr>
            <w:r>
              <w:rPr/>
              <w:t>  </w:t>
            </w:r>
          </w:p>
        </w:tc>
        <w:tc>
          <w:tcPr>
            <w:tcW w:w="9170" w:type="dxa"/>
            <w:tcBorders/>
          </w:tcPr>
          <w:p>
            <w:pPr>
              <w:pStyle w:val="TableContents"/>
              <w:bidi w:val="0"/>
              <w:spacing w:before="0" w:after="283"/>
              <w:jc w:val="left"/>
              <w:rPr/>
            </w:pPr>
            <w:hyperlink w:anchor="tx381165_1">
              <w:r>
                <w:rPr>
                  <w:rStyle w:val="InternetLink"/>
                </w:rPr>
                <w:t xml:space="preserve">Power of Attorney. </w:t>
              </w:r>
            </w:hyperlink>
          </w:p>
        </w:tc>
      </w:tr>
      <w:tr>
        <w:trPr>
          <w:trHeight w:val="120" w:hRule="atLeast"/>
        </w:trPr>
        <w:tc>
          <w:tcPr>
            <w:tcW w:w="700" w:type="dxa"/>
            <w:tcBorders/>
            <w:vAlign w:val="center"/>
          </w:tcPr>
          <w:p>
            <w:pPr>
              <w:pStyle w:val="TableContents"/>
              <w:bidi w:val="0"/>
              <w:spacing w:before="0" w:after="283"/>
              <w:jc w:val="left"/>
              <w:rPr>
                <w:sz w:val="4"/>
                <w:szCs w:val="4"/>
              </w:rPr>
            </w:pPr>
            <w:r>
              <w:rPr>
                <w:sz w:val="4"/>
                <w:szCs w:val="4"/>
              </w:rPr>
            </w:r>
          </w:p>
        </w:tc>
        <w:tc>
          <w:tcPr>
            <w:tcW w:w="9505"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tcPr>
          <w:p>
            <w:pPr>
              <w:pStyle w:val="TableContents"/>
              <w:bidi w:val="0"/>
              <w:spacing w:before="0" w:after="283"/>
              <w:jc w:val="left"/>
              <w:rPr/>
            </w:pPr>
            <w:r>
              <w:rPr/>
              <w:t>107</w:t>
            </w:r>
          </w:p>
        </w:tc>
        <w:tc>
          <w:tcPr>
            <w:tcW w:w="335" w:type="dxa"/>
            <w:tcBorders/>
            <w:vAlign w:val="bottom"/>
          </w:tcPr>
          <w:p>
            <w:pPr>
              <w:pStyle w:val="TableContents"/>
              <w:bidi w:val="0"/>
              <w:spacing w:before="0" w:after="283"/>
              <w:jc w:val="left"/>
              <w:rPr/>
            </w:pPr>
            <w:r>
              <w:rPr/>
              <w:t>  </w:t>
            </w:r>
          </w:p>
        </w:tc>
        <w:tc>
          <w:tcPr>
            <w:tcW w:w="9170" w:type="dxa"/>
            <w:tcBorders/>
          </w:tcPr>
          <w:p>
            <w:pPr>
              <w:pStyle w:val="TableContents"/>
              <w:bidi w:val="0"/>
              <w:spacing w:before="0" w:after="283"/>
              <w:jc w:val="left"/>
              <w:rPr/>
            </w:pPr>
            <w:hyperlink w:anchor="d381165dexfilingfees.htm">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on the signature page to the Registrant’s Registration Statement on Form S-1 (File No. 333-298617), originally filed with the Commission on August 28, 2026 and incorporated by reference 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x381165_1"/>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has duly caused this Registration Statement to be signed on its behalf by the undersigned, thereunto duly authorized, in the City of South San Francisco, California on September 17,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ELECTRA THERAPEUTICS, INC.</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tcPr>
          <w:p>
            <w:pPr>
              <w:pStyle w:val="TableContents"/>
              <w:bidi w:val="0"/>
              <w:spacing w:before="0" w:after="283"/>
              <w:jc w:val="left"/>
              <w:rPr/>
            </w:pPr>
            <w:r>
              <w:rPr/>
              <w:t>/s/ Quehuong (Kathy) Dong, Pharm.D., M.B.A.</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Quehuong (Kathy) Dong, Pharm.D., M.B.A.</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on Form S-1 has been signed by the following persons in the capacities held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00"/>
        <w:gridCol w:w="121"/>
        <w:gridCol w:w="4327"/>
        <w:gridCol w:w="106"/>
        <w:gridCol w:w="1951"/>
      </w:tblGrid>
      <w:tr>
        <w:trPr/>
        <w:tc>
          <w:tcPr>
            <w:tcW w:w="370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27"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37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1" w:type="dxa"/>
            <w:tcBorders/>
            <w:vAlign w:val="bottom"/>
          </w:tcPr>
          <w:p>
            <w:pPr>
              <w:pStyle w:val="TableContents"/>
              <w:bidi w:val="0"/>
              <w:spacing w:before="0" w:after="283"/>
              <w:jc w:val="left"/>
              <w:rPr/>
            </w:pPr>
            <w:r>
              <w:rPr/>
              <w:t>  </w:t>
            </w:r>
          </w:p>
        </w:tc>
        <w:tc>
          <w:tcPr>
            <w:tcW w:w="432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6" w:type="dxa"/>
            <w:tcBorders/>
            <w:vAlign w:val="bottom"/>
          </w:tcPr>
          <w:p>
            <w:pPr>
              <w:pStyle w:val="TableContents"/>
              <w:bidi w:val="0"/>
              <w:spacing w:before="0" w:after="283"/>
              <w:jc w:val="left"/>
              <w:rPr/>
            </w:pPr>
            <w:r>
              <w:rPr/>
              <w:t> </w:t>
            </w:r>
          </w:p>
        </w:tc>
        <w:tc>
          <w:tcPr>
            <w:tcW w:w="19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00" w:type="dxa"/>
            <w:tcBorders/>
            <w:vAlign w:val="center"/>
          </w:tcPr>
          <w:p>
            <w:pPr>
              <w:pStyle w:val="TableContents"/>
              <w:bidi w:val="0"/>
              <w:spacing w:before="0" w:after="283"/>
              <w:jc w:val="left"/>
              <w:rPr>
                <w:sz w:val="4"/>
                <w:szCs w:val="4"/>
              </w:rPr>
            </w:pPr>
            <w:r>
              <w:rPr>
                <w:sz w:val="4"/>
                <w:szCs w:val="4"/>
              </w:rPr>
            </w:r>
          </w:p>
        </w:tc>
        <w:tc>
          <w:tcPr>
            <w:tcW w:w="4448" w:type="dxa"/>
            <w:gridSpan w:val="2"/>
            <w:tcBorders/>
            <w:vAlign w:val="center"/>
          </w:tcPr>
          <w:p>
            <w:pPr>
              <w:pStyle w:val="TableContents"/>
              <w:bidi w:val="0"/>
              <w:spacing w:before="0" w:after="283"/>
              <w:jc w:val="left"/>
              <w:rPr>
                <w:sz w:val="4"/>
                <w:szCs w:val="4"/>
              </w:rPr>
            </w:pPr>
            <w:r>
              <w:rPr>
                <w:sz w:val="4"/>
                <w:szCs w:val="4"/>
              </w:rPr>
            </w:r>
          </w:p>
        </w:tc>
        <w:tc>
          <w:tcPr>
            <w:tcW w:w="2057" w:type="dxa"/>
            <w:gridSpan w:val="2"/>
            <w:tcBorders/>
            <w:vAlign w:val="center"/>
          </w:tcPr>
          <w:p>
            <w:pPr>
              <w:pStyle w:val="TableContents"/>
              <w:bidi w:val="0"/>
              <w:spacing w:before="0" w:after="283"/>
              <w:jc w:val="left"/>
              <w:rPr>
                <w:sz w:val="4"/>
                <w:szCs w:val="4"/>
              </w:rPr>
            </w:pPr>
            <w:r>
              <w:rPr>
                <w:sz w:val="4"/>
                <w:szCs w:val="4"/>
              </w:rPr>
            </w:r>
          </w:p>
        </w:tc>
      </w:tr>
      <w:tr>
        <w:trPr/>
        <w:tc>
          <w:tcPr>
            <w:tcW w:w="370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Quehuong (Kathy) Dong, Pharm.D., M.B.A.</w:t>
            </w:r>
          </w:p>
          <w:p>
            <w:pPr>
              <w:pStyle w:val="TableContents"/>
              <w:bidi w:val="0"/>
              <w:spacing w:before="0" w:after="20"/>
              <w:jc w:val="center"/>
              <w:rPr>
                <w:rFonts w:ascii="Times New Roman" w:hAnsi="Times New Roman"/>
                <w:sz w:val="20"/>
              </w:rPr>
            </w:pPr>
            <w:r>
              <w:rPr>
                <w:rFonts w:ascii="Times New Roman" w:hAnsi="Times New Roman"/>
                <w:sz w:val="20"/>
              </w:rPr>
              <w:t>Quehuong (Kathy) Dong, Pharm.D., M.B.A.</w:t>
            </w:r>
          </w:p>
        </w:tc>
        <w:tc>
          <w:tcPr>
            <w:tcW w:w="121" w:type="dxa"/>
            <w:tcBorders/>
            <w:vAlign w:val="bottom"/>
          </w:tcPr>
          <w:p>
            <w:pPr>
              <w:pStyle w:val="TableContents"/>
              <w:bidi w:val="0"/>
              <w:spacing w:before="0" w:after="283"/>
              <w:jc w:val="left"/>
              <w:rPr/>
            </w:pPr>
            <w:r>
              <w:rPr/>
              <w:t>  </w:t>
            </w:r>
          </w:p>
        </w:tc>
        <w:tc>
          <w:tcPr>
            <w:tcW w:w="4327"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center"/>
              <w:rPr>
                <w:rFonts w:ascii="Times New Roman" w:hAnsi="Times New Roman"/>
                <w:i/>
                <w:sz w:val="20"/>
              </w:rPr>
            </w:pPr>
            <w:r>
              <w:rPr>
                <w:rFonts w:ascii="Times New Roman" w:hAnsi="Times New Roman"/>
                <w:i/>
                <w:sz w:val="20"/>
              </w:rPr>
              <w:t>(Principal Executive Officer)</w:t>
            </w:r>
          </w:p>
        </w:tc>
        <w:tc>
          <w:tcPr>
            <w:tcW w:w="106" w:type="dxa"/>
            <w:tcBorders/>
            <w:vAlign w:val="bottom"/>
          </w:tcPr>
          <w:p>
            <w:pPr>
              <w:pStyle w:val="TableContents"/>
              <w:bidi w:val="0"/>
              <w:spacing w:before="0" w:after="283"/>
              <w:jc w:val="left"/>
              <w:rPr/>
            </w:pPr>
            <w:r>
              <w:rPr/>
              <w:t> </w:t>
            </w:r>
          </w:p>
        </w:tc>
        <w:tc>
          <w:tcPr>
            <w:tcW w:w="1951" w:type="dxa"/>
            <w:tcBorders/>
          </w:tcPr>
          <w:p>
            <w:pPr>
              <w:pStyle w:val="TableContents"/>
              <w:bidi w:val="0"/>
              <w:spacing w:before="0" w:after="283"/>
              <w:jc w:val="center"/>
              <w:rPr/>
            </w:pPr>
            <w:r>
              <w:rPr/>
              <w:t>September 17, 2026</w:t>
            </w:r>
          </w:p>
        </w:tc>
      </w:tr>
      <w:tr>
        <w:trPr>
          <w:trHeight w:val="240" w:hRule="atLeast"/>
        </w:trPr>
        <w:tc>
          <w:tcPr>
            <w:tcW w:w="3700" w:type="dxa"/>
            <w:tcBorders/>
            <w:vAlign w:val="center"/>
          </w:tcPr>
          <w:p>
            <w:pPr>
              <w:pStyle w:val="TableContents"/>
              <w:bidi w:val="0"/>
              <w:spacing w:before="0" w:after="283"/>
              <w:jc w:val="left"/>
              <w:rPr>
                <w:sz w:val="4"/>
                <w:szCs w:val="4"/>
              </w:rPr>
            </w:pPr>
            <w:r>
              <w:rPr>
                <w:sz w:val="4"/>
                <w:szCs w:val="4"/>
              </w:rPr>
            </w:r>
          </w:p>
        </w:tc>
        <w:tc>
          <w:tcPr>
            <w:tcW w:w="4448" w:type="dxa"/>
            <w:gridSpan w:val="2"/>
            <w:tcBorders/>
            <w:vAlign w:val="center"/>
          </w:tcPr>
          <w:p>
            <w:pPr>
              <w:pStyle w:val="TableContents"/>
              <w:bidi w:val="0"/>
              <w:spacing w:before="0" w:after="283"/>
              <w:jc w:val="left"/>
              <w:rPr>
                <w:sz w:val="4"/>
                <w:szCs w:val="4"/>
              </w:rPr>
            </w:pPr>
            <w:r>
              <w:rPr>
                <w:sz w:val="4"/>
                <w:szCs w:val="4"/>
              </w:rPr>
            </w:r>
          </w:p>
        </w:tc>
        <w:tc>
          <w:tcPr>
            <w:tcW w:w="2057" w:type="dxa"/>
            <w:gridSpan w:val="2"/>
            <w:tcBorders/>
            <w:vAlign w:val="center"/>
          </w:tcPr>
          <w:p>
            <w:pPr>
              <w:pStyle w:val="TableContents"/>
              <w:bidi w:val="0"/>
              <w:spacing w:before="0" w:after="283"/>
              <w:jc w:val="left"/>
              <w:rPr>
                <w:sz w:val="4"/>
                <w:szCs w:val="4"/>
              </w:rPr>
            </w:pPr>
            <w:r>
              <w:rPr>
                <w:sz w:val="4"/>
                <w:szCs w:val="4"/>
              </w:rPr>
            </w:r>
          </w:p>
        </w:tc>
      </w:tr>
      <w:tr>
        <w:trPr/>
        <w:tc>
          <w:tcPr>
            <w:tcW w:w="370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 Clark, C.F.A.</w:t>
            </w:r>
          </w:p>
          <w:p>
            <w:pPr>
              <w:pStyle w:val="TableContents"/>
              <w:bidi w:val="0"/>
              <w:spacing w:before="0" w:after="20"/>
              <w:jc w:val="center"/>
              <w:rPr>
                <w:rFonts w:ascii="Times New Roman" w:hAnsi="Times New Roman"/>
                <w:sz w:val="20"/>
              </w:rPr>
            </w:pPr>
            <w:r>
              <w:rPr>
                <w:rFonts w:ascii="Times New Roman" w:hAnsi="Times New Roman"/>
                <w:sz w:val="20"/>
              </w:rPr>
              <w:t>Chris Clark, C.F.A.</w:t>
            </w:r>
          </w:p>
        </w:tc>
        <w:tc>
          <w:tcPr>
            <w:tcW w:w="121" w:type="dxa"/>
            <w:tcBorders/>
            <w:vAlign w:val="bottom"/>
          </w:tcPr>
          <w:p>
            <w:pPr>
              <w:pStyle w:val="TableContents"/>
              <w:bidi w:val="0"/>
              <w:spacing w:before="0" w:after="283"/>
              <w:jc w:val="left"/>
              <w:rPr/>
            </w:pPr>
            <w:r>
              <w:rPr/>
              <w:t>  </w:t>
            </w:r>
          </w:p>
        </w:tc>
        <w:tc>
          <w:tcPr>
            <w:tcW w:w="4327"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Financial Officer</w:t>
            </w:r>
            <w:r>
              <w:rPr>
                <w:rFonts w:ascii="Times New Roman" w:hAnsi="Times New Roman"/>
                <w:sz w:val="20"/>
              </w:rPr>
              <w:t>)</w:t>
            </w:r>
          </w:p>
        </w:tc>
        <w:tc>
          <w:tcPr>
            <w:tcW w:w="106" w:type="dxa"/>
            <w:tcBorders/>
            <w:vAlign w:val="bottom"/>
          </w:tcPr>
          <w:p>
            <w:pPr>
              <w:pStyle w:val="TableContents"/>
              <w:bidi w:val="0"/>
              <w:spacing w:before="0" w:after="283"/>
              <w:jc w:val="left"/>
              <w:rPr/>
            </w:pPr>
            <w:r>
              <w:rPr/>
              <w:t> </w:t>
            </w:r>
          </w:p>
        </w:tc>
        <w:tc>
          <w:tcPr>
            <w:tcW w:w="1951" w:type="dxa"/>
            <w:tcBorders/>
          </w:tcPr>
          <w:p>
            <w:pPr>
              <w:pStyle w:val="TableContents"/>
              <w:bidi w:val="0"/>
              <w:spacing w:before="0" w:after="283"/>
              <w:jc w:val="center"/>
              <w:rPr/>
            </w:pPr>
            <w:r>
              <w:rPr/>
              <w:t>September 17, 2026</w:t>
            </w:r>
          </w:p>
        </w:tc>
      </w:tr>
      <w:tr>
        <w:trPr>
          <w:trHeight w:val="240" w:hRule="atLeast"/>
        </w:trPr>
        <w:tc>
          <w:tcPr>
            <w:tcW w:w="3700" w:type="dxa"/>
            <w:tcBorders/>
            <w:vAlign w:val="center"/>
          </w:tcPr>
          <w:p>
            <w:pPr>
              <w:pStyle w:val="TableContents"/>
              <w:bidi w:val="0"/>
              <w:spacing w:before="0" w:after="283"/>
              <w:jc w:val="left"/>
              <w:rPr>
                <w:sz w:val="4"/>
                <w:szCs w:val="4"/>
              </w:rPr>
            </w:pPr>
            <w:r>
              <w:rPr>
                <w:sz w:val="4"/>
                <w:szCs w:val="4"/>
              </w:rPr>
            </w:r>
          </w:p>
        </w:tc>
        <w:tc>
          <w:tcPr>
            <w:tcW w:w="4448" w:type="dxa"/>
            <w:gridSpan w:val="2"/>
            <w:tcBorders/>
            <w:vAlign w:val="center"/>
          </w:tcPr>
          <w:p>
            <w:pPr>
              <w:pStyle w:val="TableContents"/>
              <w:bidi w:val="0"/>
              <w:spacing w:before="0" w:after="283"/>
              <w:jc w:val="left"/>
              <w:rPr>
                <w:sz w:val="4"/>
                <w:szCs w:val="4"/>
              </w:rPr>
            </w:pPr>
            <w:r>
              <w:rPr>
                <w:sz w:val="4"/>
                <w:szCs w:val="4"/>
              </w:rPr>
            </w:r>
          </w:p>
        </w:tc>
        <w:tc>
          <w:tcPr>
            <w:tcW w:w="2057" w:type="dxa"/>
            <w:gridSpan w:val="2"/>
            <w:tcBorders/>
            <w:vAlign w:val="center"/>
          </w:tcPr>
          <w:p>
            <w:pPr>
              <w:pStyle w:val="TableContents"/>
              <w:bidi w:val="0"/>
              <w:spacing w:before="0" w:after="283"/>
              <w:jc w:val="left"/>
              <w:rPr>
                <w:sz w:val="4"/>
                <w:szCs w:val="4"/>
              </w:rPr>
            </w:pPr>
            <w:r>
              <w:rPr>
                <w:sz w:val="4"/>
                <w:szCs w:val="4"/>
              </w:rPr>
            </w:r>
          </w:p>
        </w:tc>
      </w:tr>
      <w:tr>
        <w:trPr/>
        <w:tc>
          <w:tcPr>
            <w:tcW w:w="370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David J. Tucker</w:t>
            </w:r>
          </w:p>
          <w:p>
            <w:pPr>
              <w:pStyle w:val="TableContents"/>
              <w:bidi w:val="0"/>
              <w:spacing w:before="0" w:after="20"/>
              <w:jc w:val="center"/>
              <w:rPr>
                <w:rFonts w:ascii="Times New Roman" w:hAnsi="Times New Roman"/>
                <w:sz w:val="20"/>
              </w:rPr>
            </w:pPr>
            <w:r>
              <w:rPr>
                <w:rFonts w:ascii="Times New Roman" w:hAnsi="Times New Roman"/>
                <w:sz w:val="20"/>
              </w:rPr>
              <w:t>David J. Tucker</w:t>
            </w:r>
          </w:p>
        </w:tc>
        <w:tc>
          <w:tcPr>
            <w:tcW w:w="121" w:type="dxa"/>
            <w:tcBorders/>
            <w:vAlign w:val="bottom"/>
          </w:tcPr>
          <w:p>
            <w:pPr>
              <w:pStyle w:val="TableContents"/>
              <w:bidi w:val="0"/>
              <w:spacing w:before="0" w:after="283"/>
              <w:jc w:val="left"/>
              <w:rPr/>
            </w:pPr>
            <w:r>
              <w:rPr/>
              <w:t>  </w:t>
            </w:r>
          </w:p>
        </w:tc>
        <w:tc>
          <w:tcPr>
            <w:tcW w:w="4327" w:type="dxa"/>
            <w:tcBorders/>
          </w:tcPr>
          <w:p>
            <w:pPr>
              <w:pStyle w:val="TableContents"/>
              <w:bidi w:val="0"/>
              <w:spacing w:before="0" w:after="0"/>
              <w:jc w:val="center"/>
              <w:rPr>
                <w:rFonts w:ascii="Times New Roman" w:hAnsi="Times New Roman"/>
                <w:sz w:val="20"/>
              </w:rPr>
            </w:pPr>
            <w:r>
              <w:rPr>
                <w:rFonts w:ascii="Times New Roman" w:hAnsi="Times New Roman"/>
                <w:sz w:val="20"/>
              </w:rPr>
              <w:t>Senior Vice President, Finance</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Accounting Officer</w:t>
            </w:r>
            <w:r>
              <w:rPr>
                <w:rFonts w:ascii="Times New Roman" w:hAnsi="Times New Roman"/>
                <w:sz w:val="20"/>
              </w:rPr>
              <w:t>)</w:t>
            </w:r>
          </w:p>
        </w:tc>
        <w:tc>
          <w:tcPr>
            <w:tcW w:w="106" w:type="dxa"/>
            <w:tcBorders/>
            <w:vAlign w:val="bottom"/>
          </w:tcPr>
          <w:p>
            <w:pPr>
              <w:pStyle w:val="TableContents"/>
              <w:bidi w:val="0"/>
              <w:spacing w:before="0" w:after="283"/>
              <w:jc w:val="left"/>
              <w:rPr/>
            </w:pPr>
            <w:r>
              <w:rPr/>
              <w:t> </w:t>
            </w:r>
          </w:p>
        </w:tc>
        <w:tc>
          <w:tcPr>
            <w:tcW w:w="1951" w:type="dxa"/>
            <w:tcBorders/>
          </w:tcPr>
          <w:p>
            <w:pPr>
              <w:pStyle w:val="TableContents"/>
              <w:bidi w:val="0"/>
              <w:spacing w:before="0" w:after="283"/>
              <w:jc w:val="center"/>
              <w:rPr/>
            </w:pPr>
            <w:r>
              <w:rPr/>
              <w:t>September 17, 2026</w:t>
            </w:r>
          </w:p>
        </w:tc>
      </w:tr>
      <w:tr>
        <w:trPr>
          <w:trHeight w:val="240" w:hRule="atLeast"/>
        </w:trPr>
        <w:tc>
          <w:tcPr>
            <w:tcW w:w="3700" w:type="dxa"/>
            <w:tcBorders/>
            <w:vAlign w:val="center"/>
          </w:tcPr>
          <w:p>
            <w:pPr>
              <w:pStyle w:val="TableContents"/>
              <w:bidi w:val="0"/>
              <w:spacing w:before="0" w:after="283"/>
              <w:jc w:val="left"/>
              <w:rPr>
                <w:sz w:val="4"/>
                <w:szCs w:val="4"/>
              </w:rPr>
            </w:pPr>
            <w:r>
              <w:rPr>
                <w:sz w:val="4"/>
                <w:szCs w:val="4"/>
              </w:rPr>
            </w:r>
          </w:p>
        </w:tc>
        <w:tc>
          <w:tcPr>
            <w:tcW w:w="4448" w:type="dxa"/>
            <w:gridSpan w:val="2"/>
            <w:tcBorders/>
            <w:vAlign w:val="center"/>
          </w:tcPr>
          <w:p>
            <w:pPr>
              <w:pStyle w:val="TableContents"/>
              <w:bidi w:val="0"/>
              <w:spacing w:before="0" w:after="283"/>
              <w:jc w:val="left"/>
              <w:rPr>
                <w:sz w:val="4"/>
                <w:szCs w:val="4"/>
              </w:rPr>
            </w:pPr>
            <w:r>
              <w:rPr>
                <w:sz w:val="4"/>
                <w:szCs w:val="4"/>
              </w:rPr>
            </w:r>
          </w:p>
        </w:tc>
        <w:tc>
          <w:tcPr>
            <w:tcW w:w="2057" w:type="dxa"/>
            <w:gridSpan w:val="2"/>
            <w:tcBorders/>
            <w:vAlign w:val="center"/>
          </w:tcPr>
          <w:p>
            <w:pPr>
              <w:pStyle w:val="TableContents"/>
              <w:bidi w:val="0"/>
              <w:spacing w:before="0" w:after="283"/>
              <w:jc w:val="left"/>
              <w:rPr>
                <w:sz w:val="4"/>
                <w:szCs w:val="4"/>
              </w:rPr>
            </w:pPr>
            <w:r>
              <w:rPr>
                <w:sz w:val="4"/>
                <w:szCs w:val="4"/>
              </w:rPr>
            </w:r>
          </w:p>
        </w:tc>
      </w:tr>
      <w:tr>
        <w:trPr/>
        <w:tc>
          <w:tcPr>
            <w:tcW w:w="370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Nancy Stagliano, Ph.D.</w:t>
            </w:r>
          </w:p>
        </w:tc>
        <w:tc>
          <w:tcPr>
            <w:tcW w:w="121" w:type="dxa"/>
            <w:tcBorders/>
            <w:vAlign w:val="bottom"/>
          </w:tcPr>
          <w:p>
            <w:pPr>
              <w:pStyle w:val="TableContents"/>
              <w:bidi w:val="0"/>
              <w:spacing w:before="0" w:after="283"/>
              <w:jc w:val="left"/>
              <w:rPr/>
            </w:pPr>
            <w:r>
              <w:rPr/>
              <w:t>  </w:t>
            </w:r>
          </w:p>
        </w:tc>
        <w:tc>
          <w:tcPr>
            <w:tcW w:w="4327" w:type="dxa"/>
            <w:tcBorders/>
          </w:tcPr>
          <w:p>
            <w:pPr>
              <w:pStyle w:val="TableContents"/>
              <w:bidi w:val="0"/>
              <w:spacing w:before="0" w:after="283"/>
              <w:jc w:val="center"/>
              <w:rPr/>
            </w:pPr>
            <w:r>
              <w:rPr/>
              <w:t>Chairperson</w:t>
            </w:r>
          </w:p>
        </w:tc>
        <w:tc>
          <w:tcPr>
            <w:tcW w:w="106" w:type="dxa"/>
            <w:tcBorders/>
            <w:vAlign w:val="bottom"/>
          </w:tcPr>
          <w:p>
            <w:pPr>
              <w:pStyle w:val="TableContents"/>
              <w:bidi w:val="0"/>
              <w:spacing w:before="0" w:after="283"/>
              <w:jc w:val="left"/>
              <w:rPr/>
            </w:pPr>
            <w:r>
              <w:rPr/>
              <w:t> </w:t>
            </w:r>
          </w:p>
        </w:tc>
        <w:tc>
          <w:tcPr>
            <w:tcW w:w="1951" w:type="dxa"/>
            <w:tcBorders/>
          </w:tcPr>
          <w:p>
            <w:pPr>
              <w:pStyle w:val="TableContents"/>
              <w:bidi w:val="0"/>
              <w:spacing w:before="0" w:after="283"/>
              <w:jc w:val="center"/>
              <w:rPr/>
            </w:pPr>
            <w:r>
              <w:rPr/>
              <w:t>September 17, 2026</w:t>
            </w:r>
          </w:p>
        </w:tc>
      </w:tr>
      <w:tr>
        <w:trPr>
          <w:trHeight w:val="240" w:hRule="atLeast"/>
        </w:trPr>
        <w:tc>
          <w:tcPr>
            <w:tcW w:w="3700" w:type="dxa"/>
            <w:tcBorders/>
            <w:vAlign w:val="center"/>
          </w:tcPr>
          <w:p>
            <w:pPr>
              <w:pStyle w:val="TableContents"/>
              <w:bidi w:val="0"/>
              <w:spacing w:before="0" w:after="283"/>
              <w:jc w:val="left"/>
              <w:rPr>
                <w:sz w:val="4"/>
                <w:szCs w:val="4"/>
              </w:rPr>
            </w:pPr>
            <w:r>
              <w:rPr>
                <w:sz w:val="4"/>
                <w:szCs w:val="4"/>
              </w:rPr>
            </w:r>
          </w:p>
        </w:tc>
        <w:tc>
          <w:tcPr>
            <w:tcW w:w="4448" w:type="dxa"/>
            <w:gridSpan w:val="2"/>
            <w:tcBorders/>
            <w:vAlign w:val="center"/>
          </w:tcPr>
          <w:p>
            <w:pPr>
              <w:pStyle w:val="TableContents"/>
              <w:bidi w:val="0"/>
              <w:spacing w:before="0" w:after="283"/>
              <w:jc w:val="left"/>
              <w:rPr>
                <w:sz w:val="4"/>
                <w:szCs w:val="4"/>
              </w:rPr>
            </w:pPr>
            <w:r>
              <w:rPr>
                <w:sz w:val="4"/>
                <w:szCs w:val="4"/>
              </w:rPr>
            </w:r>
          </w:p>
        </w:tc>
        <w:tc>
          <w:tcPr>
            <w:tcW w:w="2057" w:type="dxa"/>
            <w:gridSpan w:val="2"/>
            <w:tcBorders/>
            <w:vAlign w:val="center"/>
          </w:tcPr>
          <w:p>
            <w:pPr>
              <w:pStyle w:val="TableContents"/>
              <w:bidi w:val="0"/>
              <w:spacing w:before="0" w:after="283"/>
              <w:jc w:val="left"/>
              <w:rPr>
                <w:sz w:val="4"/>
                <w:szCs w:val="4"/>
              </w:rPr>
            </w:pPr>
            <w:r>
              <w:rPr>
                <w:sz w:val="4"/>
                <w:szCs w:val="4"/>
              </w:rPr>
            </w:r>
          </w:p>
        </w:tc>
      </w:tr>
      <w:tr>
        <w:trPr/>
        <w:tc>
          <w:tcPr>
            <w:tcW w:w="370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Matthew Fust, M.B.A.</w:t>
            </w:r>
          </w:p>
        </w:tc>
        <w:tc>
          <w:tcPr>
            <w:tcW w:w="121" w:type="dxa"/>
            <w:tcBorders/>
            <w:vAlign w:val="bottom"/>
          </w:tcPr>
          <w:p>
            <w:pPr>
              <w:pStyle w:val="TableContents"/>
              <w:bidi w:val="0"/>
              <w:spacing w:before="0" w:after="283"/>
              <w:jc w:val="left"/>
              <w:rPr/>
            </w:pPr>
            <w:r>
              <w:rPr/>
              <w:t>  </w:t>
            </w:r>
          </w:p>
        </w:tc>
        <w:tc>
          <w:tcPr>
            <w:tcW w:w="4327"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51" w:type="dxa"/>
            <w:tcBorders/>
          </w:tcPr>
          <w:p>
            <w:pPr>
              <w:pStyle w:val="TableContents"/>
              <w:bidi w:val="0"/>
              <w:spacing w:before="0" w:after="283"/>
              <w:jc w:val="center"/>
              <w:rPr/>
            </w:pPr>
            <w:r>
              <w:rPr/>
              <w:t>September 17, 2026</w:t>
            </w:r>
          </w:p>
        </w:tc>
      </w:tr>
      <w:tr>
        <w:trPr>
          <w:trHeight w:val="240" w:hRule="atLeast"/>
        </w:trPr>
        <w:tc>
          <w:tcPr>
            <w:tcW w:w="3700" w:type="dxa"/>
            <w:tcBorders/>
            <w:vAlign w:val="center"/>
          </w:tcPr>
          <w:p>
            <w:pPr>
              <w:pStyle w:val="TableContents"/>
              <w:bidi w:val="0"/>
              <w:spacing w:before="0" w:after="283"/>
              <w:jc w:val="left"/>
              <w:rPr>
                <w:sz w:val="4"/>
                <w:szCs w:val="4"/>
              </w:rPr>
            </w:pPr>
            <w:r>
              <w:rPr>
                <w:sz w:val="4"/>
                <w:szCs w:val="4"/>
              </w:rPr>
            </w:r>
          </w:p>
        </w:tc>
        <w:tc>
          <w:tcPr>
            <w:tcW w:w="4448" w:type="dxa"/>
            <w:gridSpan w:val="2"/>
            <w:tcBorders/>
            <w:vAlign w:val="center"/>
          </w:tcPr>
          <w:p>
            <w:pPr>
              <w:pStyle w:val="TableContents"/>
              <w:bidi w:val="0"/>
              <w:spacing w:before="0" w:after="283"/>
              <w:jc w:val="left"/>
              <w:rPr>
                <w:sz w:val="4"/>
                <w:szCs w:val="4"/>
              </w:rPr>
            </w:pPr>
            <w:r>
              <w:rPr>
                <w:sz w:val="4"/>
                <w:szCs w:val="4"/>
              </w:rPr>
            </w:r>
          </w:p>
        </w:tc>
        <w:tc>
          <w:tcPr>
            <w:tcW w:w="2057" w:type="dxa"/>
            <w:gridSpan w:val="2"/>
            <w:tcBorders/>
            <w:vAlign w:val="center"/>
          </w:tcPr>
          <w:p>
            <w:pPr>
              <w:pStyle w:val="TableContents"/>
              <w:bidi w:val="0"/>
              <w:spacing w:before="0" w:after="283"/>
              <w:jc w:val="left"/>
              <w:rPr>
                <w:sz w:val="4"/>
                <w:szCs w:val="4"/>
              </w:rPr>
            </w:pPr>
            <w:r>
              <w:rPr>
                <w:sz w:val="4"/>
                <w:szCs w:val="4"/>
              </w:rPr>
            </w:r>
          </w:p>
        </w:tc>
      </w:tr>
      <w:tr>
        <w:trPr/>
        <w:tc>
          <w:tcPr>
            <w:tcW w:w="370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Carl L. Gordon, Ph.D., C.F.A.</w:t>
            </w:r>
          </w:p>
        </w:tc>
        <w:tc>
          <w:tcPr>
            <w:tcW w:w="121" w:type="dxa"/>
            <w:tcBorders/>
            <w:vAlign w:val="bottom"/>
          </w:tcPr>
          <w:p>
            <w:pPr>
              <w:pStyle w:val="TableContents"/>
              <w:bidi w:val="0"/>
              <w:spacing w:before="0" w:after="283"/>
              <w:jc w:val="left"/>
              <w:rPr/>
            </w:pPr>
            <w:r>
              <w:rPr/>
              <w:t>  </w:t>
            </w:r>
          </w:p>
        </w:tc>
        <w:tc>
          <w:tcPr>
            <w:tcW w:w="4327"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51" w:type="dxa"/>
            <w:tcBorders/>
          </w:tcPr>
          <w:p>
            <w:pPr>
              <w:pStyle w:val="TableContents"/>
              <w:bidi w:val="0"/>
              <w:spacing w:before="0" w:after="283"/>
              <w:jc w:val="center"/>
              <w:rPr/>
            </w:pPr>
            <w:r>
              <w:rPr/>
              <w:t>September 17, 2026</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23"/>
        <w:gridCol w:w="60"/>
        <w:gridCol w:w="3499"/>
      </w:tblGrid>
      <w:tr>
        <w:trPr/>
        <w:tc>
          <w:tcPr>
            <w:tcW w:w="5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9" w:type="dxa"/>
            <w:tcBorders/>
            <w:vAlign w:val="center"/>
          </w:tcPr>
          <w:p>
            <w:pPr>
              <w:pStyle w:val="TableContents"/>
              <w:bidi w:val="0"/>
              <w:spacing w:before="0" w:after="283"/>
              <w:jc w:val="left"/>
              <w:rPr>
                <w:sz w:val="4"/>
                <w:szCs w:val="4"/>
              </w:rPr>
            </w:pPr>
            <w:r>
              <w:rPr>
                <w:sz w:val="4"/>
                <w:szCs w:val="4"/>
              </w:rPr>
            </w:r>
          </w:p>
        </w:tc>
      </w:tr>
      <w:tr>
        <w:trPr/>
        <w:tc>
          <w:tcPr>
            <w:tcW w:w="52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99" w:type="dxa"/>
            <w:tcBorders>
              <w:bottom w:val="single" w:sz="2" w:space="0" w:color="000000"/>
            </w:tcBorders>
            <w:tcMar>
              <w:bottom w:w="28" w:type="dxa"/>
            </w:tcMar>
          </w:tcPr>
          <w:p>
            <w:pPr>
              <w:pStyle w:val="TableContents"/>
              <w:bidi w:val="0"/>
              <w:spacing w:before="0" w:after="283"/>
              <w:jc w:val="left"/>
              <w:rPr/>
            </w:pPr>
            <w:r>
              <w:rPr/>
              <w:t>/s/ Quehuong (Kathy) Dong, Pharm.D., M.B.A.</w:t>
            </w:r>
          </w:p>
        </w:tc>
      </w:tr>
      <w:tr>
        <w:trPr/>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9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Quehuong (Kathy) Dong, Pharm.D., M.B.A.</w:t>
            </w:r>
          </w:p>
        </w:tc>
      </w:tr>
      <w:tr>
        <w:trPr/>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9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3" w:name="d381165dex51.htm"/>
      <w:bookmarkStart w:id="4" w:name="ksd381165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954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Charles J. Bair </w:t>
      </w:r>
    </w:p>
    <w:tbl>
      <w:tblPr>
        <w:tblW w:w="5000" w:type="pct"/>
        <w:jc w:val="center"/>
        <w:tblInd w:w="0" w:type="dxa"/>
        <w:tblLayout w:type="fixed"/>
        <w:tblCellMar>
          <w:top w:w="0" w:type="dxa"/>
          <w:left w:w="0" w:type="dxa"/>
          <w:bottom w:w="0" w:type="dxa"/>
          <w:right w:w="0" w:type="dxa"/>
        </w:tblCellMar>
      </w:tblPr>
      <w:tblGrid>
        <w:gridCol w:w="5328"/>
        <w:gridCol w:w="120"/>
        <w:gridCol w:w="4757"/>
      </w:tblGrid>
      <w:tr>
        <w:trPr/>
        <w:tc>
          <w:tcPr>
            <w:tcW w:w="532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57" w:type="dxa"/>
            <w:tcBorders/>
            <w:vAlign w:val="center"/>
          </w:tcPr>
          <w:p>
            <w:pPr>
              <w:pStyle w:val="TableContents"/>
              <w:bidi w:val="0"/>
              <w:spacing w:before="0" w:after="283"/>
              <w:jc w:val="left"/>
              <w:rPr>
                <w:sz w:val="4"/>
                <w:szCs w:val="4"/>
              </w:rPr>
            </w:pPr>
            <w:r>
              <w:rPr>
                <w:sz w:val="4"/>
                <w:szCs w:val="4"/>
              </w:rPr>
            </w:r>
          </w:p>
        </w:tc>
      </w:tr>
      <w:tr>
        <w:trPr/>
        <w:tc>
          <w:tcPr>
            <w:tcW w:w="5328" w:type="dxa"/>
            <w:tcBorders/>
          </w:tcPr>
          <w:p>
            <w:pPr>
              <w:pStyle w:val="TableContents"/>
              <w:bidi w:val="0"/>
              <w:spacing w:before="0" w:after="0"/>
              <w:jc w:val="left"/>
              <w:rPr>
                <w:rFonts w:ascii="Times New Roman" w:hAnsi="Times New Roman"/>
                <w:sz w:val="20"/>
              </w:rPr>
            </w:pPr>
            <w:r>
              <w:rPr>
                <w:rFonts w:ascii="Times New Roman" w:hAnsi="Times New Roman"/>
                <w:sz w:val="20"/>
              </w:rPr>
              <w:t>T: +1 858 550 6142</w:t>
            </w:r>
          </w:p>
          <w:p>
            <w:pPr>
              <w:pStyle w:val="TableContents"/>
              <w:bidi w:val="0"/>
              <w:spacing w:before="0" w:after="20"/>
              <w:jc w:val="left"/>
              <w:rPr>
                <w:rFonts w:ascii="Times New Roman" w:hAnsi="Times New Roman"/>
                <w:sz w:val="20"/>
              </w:rPr>
            </w:pPr>
            <w:r>
              <w:rPr>
                <w:rFonts w:ascii="Times New Roman" w:hAnsi="Times New Roman"/>
                <w:sz w:val="20"/>
              </w:rPr>
              <w:t>cbair@cooley.com</w:t>
            </w:r>
          </w:p>
        </w:tc>
        <w:tc>
          <w:tcPr>
            <w:tcW w:w="120" w:type="dxa"/>
            <w:tcBorders/>
            <w:vAlign w:val="bottom"/>
          </w:tcPr>
          <w:p>
            <w:pPr>
              <w:pStyle w:val="TableContents"/>
              <w:bidi w:val="0"/>
              <w:spacing w:before="0" w:after="283"/>
              <w:jc w:val="left"/>
              <w:rPr/>
            </w:pPr>
            <w:r>
              <w:rPr/>
              <w:t>  </w:t>
            </w:r>
          </w:p>
        </w:tc>
        <w:tc>
          <w:tcPr>
            <w:tcW w:w="475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September 17, 2026 </w:t>
      </w:r>
    </w:p>
    <w:p>
      <w:pPr>
        <w:pStyle w:val="TextBody"/>
        <w:bidi w:val="0"/>
        <w:spacing w:before="240" w:after="0"/>
        <w:jc w:val="left"/>
        <w:rPr>
          <w:rFonts w:ascii="Times New Roman" w:hAnsi="Times New Roman"/>
          <w:sz w:val="20"/>
        </w:rPr>
      </w:pPr>
      <w:r>
        <w:rPr>
          <w:rFonts w:ascii="Times New Roman" w:hAnsi="Times New Roman"/>
          <w:sz w:val="20"/>
        </w:rPr>
        <w:t xml:space="preserve">Electra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230 E Grand Avenue, Suite S-100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California 94080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Electra Therapeutics, Inc., a Delaware corporation (the “</w:t>
      </w:r>
      <w:r>
        <w:rPr>
          <w:rFonts w:ascii="Times New Roman" w:hAnsi="Times New Roman"/>
          <w:b/>
          <w:i/>
          <w:sz w:val="20"/>
        </w:rPr>
        <w:t>Company</w:t>
      </w:r>
      <w:r>
        <w:rPr>
          <w:rFonts w:ascii="Times New Roman" w:hAnsi="Times New Roman"/>
          <w:sz w:val="20"/>
        </w:rPr>
        <w:t>”), in connection with the filing by the Company of a registration statement on Form S-1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pursuant to Rule 462(b) under the Securities Act of 1933, as amended (the “</w:t>
      </w:r>
      <w:r>
        <w:rPr>
          <w:rFonts w:ascii="Times New Roman" w:hAnsi="Times New Roman"/>
          <w:b/>
          <w:i/>
          <w:sz w:val="20"/>
        </w:rPr>
        <w:t>Securities Act</w:t>
      </w:r>
      <w:r>
        <w:rPr>
          <w:rFonts w:ascii="Times New Roman" w:hAnsi="Times New Roman"/>
          <w:sz w:val="20"/>
        </w:rPr>
        <w:t>”), including a related prospectus included in the Registration Statement (the “</w:t>
      </w:r>
      <w:r>
        <w:rPr>
          <w:rFonts w:ascii="Times New Roman" w:hAnsi="Times New Roman"/>
          <w:b/>
          <w:i/>
          <w:sz w:val="20"/>
        </w:rPr>
        <w:t>Prospectus</w:t>
      </w:r>
      <w:r>
        <w:rPr>
          <w:rFonts w:ascii="Times New Roman" w:hAnsi="Times New Roman"/>
          <w:sz w:val="20"/>
        </w:rPr>
        <w:t>”), covering an underwritten public offering by the Company of up to 1,916,667 shares (the “</w:t>
      </w:r>
      <w:r>
        <w:rPr>
          <w:rFonts w:ascii="Times New Roman" w:hAnsi="Times New Roman"/>
          <w:b/>
          <w:i/>
          <w:sz w:val="20"/>
        </w:rPr>
        <w:t>Shares</w:t>
      </w:r>
      <w:r>
        <w:rPr>
          <w:rFonts w:ascii="Times New Roman" w:hAnsi="Times New Roman"/>
          <w:sz w:val="20"/>
        </w:rPr>
        <w:t>”) of its common stock, par value $0.0001 per share. The Registration Statement incorporates by reference the registration statement on Form S-1, as amended (No. 333-298617) (the “</w:t>
      </w:r>
      <w:r>
        <w:rPr>
          <w:rFonts w:ascii="Times New Roman" w:hAnsi="Times New Roman"/>
          <w:b/>
          <w:i/>
          <w:sz w:val="20"/>
        </w:rPr>
        <w:t>Prior Registration Statement</w:t>
      </w:r>
      <w:r>
        <w:rPr>
          <w:rFonts w:ascii="Times New Roman" w:hAnsi="Times New Roman"/>
          <w:sz w:val="20"/>
        </w:rPr>
        <w:t>”), including the prospectus that is part of the Prior Registration Statement (the “</w:t>
      </w:r>
      <w:r>
        <w:rPr>
          <w:rFonts w:ascii="Times New Roman" w:hAnsi="Times New Roman"/>
          <w:b/>
          <w:i/>
          <w:sz w:val="20"/>
        </w:rPr>
        <w: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(i) examined and relied upon (a) the Registration Statement and the Prospectus, (b) the Company’s certificate of incorporation and bylaws, each as currently in effect, (c) the Company’s Amended and Restated Certificate of Incorporation and Amended and Restated Bylaws, filed as Exhibits 3.2 and 3.4 to the Prior Registration Statement, respectively, each of which is to be in effect in connection with the closing of the offering contemplated by the Prior Registration Statement and (d) such other records, documents, opinions, certificates, memoranda and instruments as in our judgment are necessary or appropriate to enable us to render the opinion expressed below and (ii) the Amended and Restated Certificate of Incorporation referred to in clause (i)(c) is filed with the Secretary of State of the State of Delaware before issuance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in reliance thereon and subject to the assumptions, qualifications, limitations and exceptions set forth herein, we are of the opinion that the Shares, when sold and issued against payment therefor as described in the Prior Registration Statement and the Prospectus, will be validly issued, fully paid and nonassessable.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10265 Science Center Drive, San Diego, CA 92121-1117 </w:t>
      </w:r>
    </w:p>
    <w:p>
      <w:pPr>
        <w:pStyle w:val="TextBody"/>
        <w:bidi w:val="0"/>
        <w:spacing w:before="0" w:after="0"/>
        <w:jc w:val="center"/>
        <w:rPr>
          <w:rFonts w:ascii="Times New Roman" w:hAnsi="Times New Roman"/>
          <w:sz w:val="20"/>
        </w:rPr>
      </w:pPr>
      <w:r>
        <w:rPr>
          <w:rFonts w:ascii="Times New Roman" w:hAnsi="Times New Roman"/>
          <w:sz w:val="20"/>
        </w:rPr>
        <w:t xml:space="preserve">t: +1 (858) 550-6000 f: +1 (858) 550-6420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left"/>
        <w:rPr/>
      </w:pPr>
      <w:r>
        <w:rPr/>
        <w:drawing>
          <wp:inline distT="0" distB="0" distL="0" distR="0">
            <wp:extent cx="129540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Electra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heading “Legal Matters” in the Prospectus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Cooley LLP </w:t>
      </w:r>
    </w:p>
    <w:tbl>
      <w:tblPr>
        <w:tblW w:w="2000" w:type="pct"/>
        <w:jc w:val="left"/>
        <w:tblInd w:w="0" w:type="dxa"/>
        <w:tblLayout w:type="fixed"/>
        <w:tblCellMar>
          <w:top w:w="0" w:type="dxa"/>
          <w:left w:w="0" w:type="dxa"/>
          <w:bottom w:w="0" w:type="dxa"/>
          <w:right w:w="0" w:type="dxa"/>
        </w:tblCellMar>
      </w:tblPr>
      <w:tblGrid>
        <w:gridCol w:w="381"/>
        <w:gridCol w:w="61"/>
        <w:gridCol w:w="3640"/>
      </w:tblGrid>
      <w:tr>
        <w:trPr/>
        <w:tc>
          <w:tcPr>
            <w:tcW w:w="38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1" w:type="dxa"/>
            <w:tcBorders/>
            <w:vAlign w:val="center"/>
          </w:tcPr>
          <w:p>
            <w:pPr>
              <w:pStyle w:val="TableContents"/>
              <w:bidi w:val="0"/>
              <w:spacing w:before="0" w:after="283"/>
              <w:jc w:val="left"/>
              <w:rPr>
                <w:sz w:val="4"/>
                <w:szCs w:val="4"/>
              </w:rPr>
            </w:pPr>
            <w:r>
              <w:rPr>
                <w:sz w:val="4"/>
                <w:szCs w:val="4"/>
              </w:rPr>
            </w:r>
          </w:p>
        </w:tc>
        <w:tc>
          <w:tcPr>
            <w:tcW w:w="3701" w:type="dxa"/>
            <w:gridSpan w:val="2"/>
            <w:tcBorders/>
            <w:vAlign w:val="center"/>
          </w:tcPr>
          <w:p>
            <w:pPr>
              <w:pStyle w:val="TableContents"/>
              <w:bidi w:val="0"/>
              <w:spacing w:before="0" w:after="283"/>
              <w:jc w:val="left"/>
              <w:rPr>
                <w:sz w:val="4"/>
                <w:szCs w:val="4"/>
              </w:rPr>
            </w:pPr>
            <w:r>
              <w:rPr>
                <w:sz w:val="4"/>
                <w:szCs w:val="4"/>
              </w:rPr>
            </w:r>
          </w:p>
        </w:tc>
      </w:tr>
      <w:tr>
        <w:trPr/>
        <w:tc>
          <w:tcPr>
            <w:tcW w:w="381"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0" w:type="dxa"/>
            <w:tcBorders>
              <w:bottom w:val="single" w:sz="2" w:space="0" w:color="000000"/>
            </w:tcBorders>
            <w:tcMar>
              <w:bottom w:w="28" w:type="dxa"/>
            </w:tcMar>
          </w:tcPr>
          <w:p>
            <w:pPr>
              <w:pStyle w:val="TableContents"/>
              <w:bidi w:val="0"/>
              <w:spacing w:before="0" w:after="283"/>
              <w:jc w:val="left"/>
              <w:rPr/>
            </w:pPr>
            <w:r>
              <w:rPr/>
              <w:t>/s/ Charles J. Bair</w:t>
            </w:r>
          </w:p>
        </w:tc>
      </w:tr>
      <w:tr>
        <w:trPr/>
        <w:tc>
          <w:tcPr>
            <w:tcW w:w="38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0" w:type="dxa"/>
            <w:tcBorders/>
          </w:tcPr>
          <w:p>
            <w:pPr>
              <w:pStyle w:val="TableContents"/>
              <w:bidi w:val="0"/>
              <w:spacing w:before="0" w:after="0"/>
              <w:jc w:val="left"/>
              <w:rPr>
                <w:rFonts w:ascii="Times New Roman" w:hAnsi="Times New Roman"/>
                <w:sz w:val="20"/>
              </w:rPr>
            </w:pPr>
            <w:r>
              <w:rPr>
                <w:rFonts w:ascii="Times New Roman" w:hAnsi="Times New Roman"/>
                <w:sz w:val="20"/>
              </w:rPr>
              <w:t>Charles J. Bair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10265 Science Center Dr., San Diego, CA 92121 </w:t>
      </w:r>
    </w:p>
    <w:p>
      <w:pPr>
        <w:pStyle w:val="TextBody"/>
        <w:bidi w:val="0"/>
        <w:spacing w:before="0" w:after="0"/>
        <w:jc w:val="center"/>
        <w:rPr>
          <w:rFonts w:ascii="Times New Roman" w:hAnsi="Times New Roman"/>
          <w:sz w:val="20"/>
        </w:rPr>
      </w:pPr>
      <w:r>
        <w:rPr>
          <w:rFonts w:ascii="Times New Roman" w:hAnsi="Times New Roman"/>
          <w:sz w:val="20"/>
        </w:rPr>
        <w:t xml:space="preserve">t: +1 (858) 550-6000 f: +1 (858) 550-6420 cooley.com </w:t>
      </w:r>
    </w:p>
    <w:p>
      <w:pPr>
        <w:pStyle w:val="TextBody"/>
        <w:bidi w:val="0"/>
        <w:spacing w:before="0" w:after="0"/>
        <w:jc w:val="right"/>
        <w:rPr>
          <w:rFonts w:ascii="Times New Roman" w:hAnsi="Times New Roman"/>
          <w:b/>
          <w:sz w:val="20"/>
        </w:rPr>
      </w:pPr>
      <w:bookmarkStart w:id="5" w:name="d381165dex231.htm"/>
      <w:bookmarkStart w:id="6" w:name="ksd381165dex231"/>
      <w:bookmarkEnd w:id="5"/>
      <w:bookmarkEnd w:id="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on Form S-1 filed pursuant to Rule 462(b) of the Securities Act of 1933 of the reference to our firm under the caption “Experts” and to the incorporation by reference of our report dated June 26, 2026 (except for the seventh paragraph of Note 1, as to which the date is September 14, 2026), with respect to the financial statements of Electra Therapeutics, Inc. included in Amendment No. 1 to the Registration Statement (Form S-1 No. 333-298617) and related Prospectus of Electra Therapeutics, Inc. for the registration of its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/s/ Ernst &amp; Young LLP</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San Mateo, California</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September 17, 2026</w:t>
            </w:r>
          </w:p>
        </w:tc>
      </w:tr>
    </w:tbl>
    <w:p>
      <w:pPr>
        <w:pStyle w:val="Normal"/>
        <w:bidi w:val="0"/>
        <w:spacing w:before="0" w:after="0"/>
        <w:jc w:val="left"/>
        <w:rPr>
          <w:sz w:val="4"/>
          <w:szCs w:val="4"/>
        </w:rPr>
      </w:pPr>
      <w:r>
        <w:rPr>
          <w:sz w:val="4"/>
          <w:szCs w:val="4"/>
        </w:rPr>
      </w:r>
      <w:bookmarkStart w:id="7" w:name="d381165dexfilingfees.htm"/>
      <w:bookmarkStart w:id="8" w:name="ksd381165dexfilingfees"/>
      <w:bookmarkStart w:id="9" w:name="d381165dexfilingfees.htm"/>
      <w:bookmarkStart w:id="10" w:name="ksd381165dexfilingfees"/>
      <w:bookmarkEnd w:id="9"/>
      <w:bookmarkEnd w:id="10"/>
      <w:r>
        <w:br w:type="page"/>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Electra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1,916,667 </w:t>
            </w:r>
          </w:p>
        </w:tc>
        <w:tc>
          <w:tcPr>
            <w:tcW w:w="1156" w:type="dxa"/>
            <w:tcBorders/>
            <w:shd w:fill="E7E7E2" w:val="clear"/>
            <w:vAlign w:val="center"/>
          </w:tcPr>
          <w:p>
            <w:pPr>
              <w:pStyle w:val="TableContents"/>
              <w:bidi w:val="0"/>
              <w:spacing w:before="0" w:after="283"/>
              <w:jc w:val="right"/>
              <w:rPr/>
            </w:pPr>
            <w:r>
              <w:rPr/>
              <w:t xml:space="preserve">$ 15.00 </w:t>
            </w:r>
          </w:p>
        </w:tc>
        <w:tc>
          <w:tcPr>
            <w:tcW w:w="1666" w:type="dxa"/>
            <w:tcBorders/>
            <w:shd w:fill="E7E7E2" w:val="clear"/>
            <w:vAlign w:val="center"/>
          </w:tcPr>
          <w:p>
            <w:pPr>
              <w:pStyle w:val="TableContents"/>
              <w:bidi w:val="0"/>
              <w:spacing w:before="0" w:after="283"/>
              <w:jc w:val="right"/>
              <w:rPr/>
            </w:pPr>
            <w:r>
              <w:rPr/>
              <w:t xml:space="preserve">$ 28,750,005.00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$ 3,970.38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11" w:name="MaxAggtOfferingPrice"/>
            <w:bookmarkEnd w:id="11"/>
            <w:r>
              <w:rPr/>
              <w:t xml:space="preserve">$ 28,750,005.00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$ 3,970.38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3" w:name="TotalPreviouslyPaidAmt"/>
            <w:bookmarkEnd w:id="1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4" w:name="TotalOffsetAmt"/>
            <w:bookmarkEnd w:id="1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5" w:name="NetFeeAmt"/>
            <w:bookmarkEnd w:id="15"/>
            <w:r>
              <w:rPr/>
              <w:t xml:space="preserve">$ 3,970.38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5"/>
        <w:gridCol w:w="1298"/>
        <w:gridCol w:w="8702"/>
      </w:tblGrid>
      <w:tr>
        <w:trPr/>
        <w:tc>
          <w:tcPr>
            <w:tcW w:w="20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0" w:type="dxa"/>
            <w:gridSpan w:val="2"/>
            <w:tcBorders/>
            <w:vAlign w:val="center"/>
          </w:tcPr>
          <w:p>
            <w:pPr>
              <w:pStyle w:val="TableContents"/>
              <w:bidi w:val="0"/>
              <w:spacing w:before="0" w:after="283"/>
              <w:jc w:val="left"/>
              <w:rPr/>
            </w:pPr>
            <w:r>
              <w:rPr/>
              <w:t xml:space="preserve">The registrant previously registered securities with a proposed maximum aggregate offering price not to exceed $398,666,672 on a Registration Statement on Form S-1 (File No. 333-298617), which was declared effective by the Securities and Exchange Commission on September 17, 2026. In accordance with Rule 462(b) promulgated under the Securities Act of 1933, as amended, an additional amount of securities having a proposed maximum aggregate offering price of $28,750,005 is hereby registered, which includes the shares of common stock that the underwriters have the option to purchase. </w:t>
            </w:r>
          </w:p>
        </w:tc>
      </w:tr>
      <w:tr>
        <w:trPr/>
        <w:tc>
          <w:tcPr>
            <w:tcW w:w="1503" w:type="dxa"/>
            <w:gridSpan w:val="2"/>
            <w:tcBorders/>
            <w:vAlign w:val="center"/>
          </w:tcPr>
          <w:p>
            <w:pPr>
              <w:pStyle w:val="HorizontalLine"/>
              <w:pBdr>
                <w:bottom w:val="double" w:sz="2" w:space="0" w:color="808080"/>
              </w:pBdr>
              <w:bidi w:val="0"/>
              <w:spacing w:before="0" w:after="283"/>
              <w:jc w:val="left"/>
              <w:rPr/>
            </w:pPr>
            <w:r>
              <w:rPr/>
            </w:r>
          </w:p>
        </w:tc>
        <w:tc>
          <w:tcPr>
            <w:tcW w:w="870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2117</Words>
  <Characters>11756</Characters>
  <CharactersWithSpaces>13891</CharactersWithSpaces>
  <Paragraphs>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