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b/>
            <w:sz w:val="20"/>
          </w:rPr>
          <w:t>Table of Contents</w:t>
        </w:r>
      </w:hyperlink>
    </w:p>
    <w:p>
      <w:pPr>
        <w:pStyle w:val="TextBody"/>
        <w:bidi w:val="0"/>
        <w:spacing w:before="0" w:after="0"/>
        <w:jc w:val="center"/>
        <w:rPr>
          <w:rFonts w:ascii="Arial" w:hAnsi="Arial"/>
          <w:b/>
          <w:sz w:val="17"/>
        </w:rPr>
      </w:pPr>
      <w:r>
        <w:rPr>
          <w:rFonts w:ascii="Arial" w:hAnsi="Arial"/>
          <w:b/>
          <w:sz w:val="17"/>
        </w:rPr>
        <w:t xml:space="preserve">As confidentially submitted to the Securities and Exchange Commission on August 10, 2026. </w:t>
      </w:r>
    </w:p>
    <w:p>
      <w:pPr>
        <w:pStyle w:val="TextBody"/>
        <w:bidi w:val="0"/>
        <w:spacing w:before="0" w:after="0"/>
        <w:jc w:val="center"/>
        <w:rPr>
          <w:rFonts w:ascii="Arial" w:hAnsi="Arial"/>
          <w:b/>
          <w:sz w:val="17"/>
        </w:rPr>
      </w:pPr>
      <w:r>
        <w:rPr>
          <w:rFonts w:ascii="Arial" w:hAnsi="Arial"/>
          <w:b/>
          <w:sz w:val="17"/>
        </w:rPr>
        <w:t xml:space="preserve">This Amendment No. 1 to draft registration statement has not been publicly filed with the Securities and Exchange Commission and all information herein remains strictly confidential. </w:t>
      </w:r>
    </w:p>
    <w:p>
      <w:pPr>
        <w:pStyle w:val="TextBody"/>
        <w:bidi w:val="0"/>
        <w:spacing w:before="0" w:after="0"/>
        <w:jc w:val="right"/>
        <w:rPr>
          <w:rFonts w:ascii="Arial" w:hAnsi="Arial"/>
          <w:b/>
          <w:sz w:val="17"/>
        </w:rPr>
      </w:pPr>
      <w:r>
        <w:rPr>
          <w:rFonts w:ascii="Arial" w:hAnsi="Arial"/>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sz w:val="36"/>
        </w:rPr>
      </w:pPr>
      <w:r>
        <w:rPr>
          <w:rFonts w:ascii="Arial" w:hAnsi="Arial"/>
          <w:b/>
          <w:sz w:val="36"/>
        </w:rPr>
        <w:t xml:space="preserve">FORM S-1 </w:t>
      </w:r>
    </w:p>
    <w:p>
      <w:pPr>
        <w:pStyle w:val="TextBody"/>
        <w:bidi w:val="0"/>
        <w:spacing w:before="0" w:after="0"/>
        <w:jc w:val="center"/>
        <w:rPr>
          <w:rFonts w:ascii="Arial" w:hAnsi="Arial"/>
          <w:b/>
          <w:sz w:val="36"/>
        </w:rPr>
      </w:pPr>
      <w:r>
        <w:rPr>
          <w:rFonts w:ascii="Arial" w:hAnsi="Arial"/>
          <w:b/>
          <w:sz w:val="36"/>
        </w:rPr>
        <w:t xml:space="preserve">REGISTRATION STATEMENT </w:t>
      </w:r>
    </w:p>
    <w:p>
      <w:pPr>
        <w:pStyle w:val="TextBody"/>
        <w:bidi w:val="0"/>
        <w:spacing w:before="0" w:after="0"/>
        <w:jc w:val="center"/>
        <w:rPr>
          <w:rFonts w:ascii="Arial" w:hAnsi="Arial"/>
          <w:b/>
          <w:i/>
          <w:sz w:val="24"/>
        </w:rPr>
      </w:pPr>
      <w:r>
        <w:rPr>
          <w:rFonts w:ascii="Arial" w:hAnsi="Arial"/>
          <w:b/>
          <w:i/>
          <w:sz w:val="24"/>
        </w:rPr>
        <w:t xml:space="preserve">UNDER </w:t>
      </w:r>
    </w:p>
    <w:p>
      <w:pPr>
        <w:pStyle w:val="TextBody"/>
        <w:bidi w:val="0"/>
        <w:spacing w:before="0" w:after="0"/>
        <w:jc w:val="center"/>
        <w:rPr>
          <w:rFonts w:ascii="Arial" w:hAnsi="Arial"/>
          <w:b/>
          <w:i/>
          <w:sz w:val="24"/>
        </w:rPr>
      </w:pPr>
      <w:r>
        <w:rPr>
          <w:rFonts w:ascii="Arial" w:hAnsi="Arial"/>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sz w:val="48"/>
        </w:rPr>
      </w:pPr>
      <w:r>
        <w:rPr>
          <w:rFonts w:ascii="Arial" w:hAnsi="Arial"/>
          <w:b/>
          <w:sz w:val="48"/>
        </w:rPr>
        <w:t xml:space="preserve">Electra Therapeutics, Inc. </w:t>
      </w:r>
    </w:p>
    <w:p>
      <w:pPr>
        <w:pStyle w:val="TextBody"/>
        <w:bidi w:val="0"/>
        <w:spacing w:before="0" w:after="0"/>
        <w:jc w:val="center"/>
        <w:rPr>
          <w:rFonts w:ascii="Arial" w:hAnsi="Arial"/>
          <w:b/>
          <w:sz w:val="16"/>
        </w:rPr>
      </w:pPr>
      <w:r>
        <w:rPr>
          <w:rFonts w:ascii="Arial" w:hAnsi="Arial"/>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83-2193635</w:t>
            </w:r>
          </w:p>
        </w:tc>
      </w:tr>
      <w:tr>
        <w:trPr/>
        <w:tc>
          <w:tcPr>
            <w:tcW w:w="3471"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Number)</w:t>
            </w:r>
          </w:p>
        </w:tc>
      </w:tr>
    </w:tbl>
    <w:p>
      <w:pPr>
        <w:pStyle w:val="TextBody"/>
        <w:bidi w:val="0"/>
        <w:spacing w:before="60" w:after="0"/>
        <w:jc w:val="center"/>
        <w:rPr>
          <w:rFonts w:ascii="Arial" w:hAnsi="Arial"/>
          <w:b/>
          <w:sz w:val="17"/>
        </w:rPr>
      </w:pPr>
      <w:r>
        <w:rPr>
          <w:rFonts w:ascii="Arial" w:hAnsi="Arial"/>
          <w:b/>
          <w:sz w:val="17"/>
        </w:rPr>
        <w:t xml:space="preserve">230 E Grand Avenue </w:t>
      </w:r>
    </w:p>
    <w:p>
      <w:pPr>
        <w:pStyle w:val="TextBody"/>
        <w:bidi w:val="0"/>
        <w:spacing w:before="0" w:after="0"/>
        <w:jc w:val="center"/>
        <w:rPr>
          <w:rFonts w:ascii="Arial" w:hAnsi="Arial"/>
          <w:b/>
          <w:sz w:val="17"/>
        </w:rPr>
      </w:pPr>
      <w:r>
        <w:rPr>
          <w:rFonts w:ascii="Arial" w:hAnsi="Arial"/>
          <w:b/>
          <w:sz w:val="17"/>
        </w:rPr>
        <w:t xml:space="preserve">Suite S-100 </w:t>
      </w:r>
    </w:p>
    <w:p>
      <w:pPr>
        <w:pStyle w:val="TextBody"/>
        <w:bidi w:val="0"/>
        <w:spacing w:before="0" w:after="0"/>
        <w:jc w:val="center"/>
        <w:rPr>
          <w:rFonts w:ascii="Arial" w:hAnsi="Arial"/>
          <w:b/>
          <w:sz w:val="17"/>
        </w:rPr>
      </w:pPr>
      <w:r>
        <w:rPr>
          <w:rFonts w:ascii="Arial" w:hAnsi="Arial"/>
          <w:b/>
          <w:sz w:val="17"/>
        </w:rPr>
        <w:t xml:space="preserve">South San Francisco, California 94080 </w:t>
      </w:r>
    </w:p>
    <w:p>
      <w:pPr>
        <w:pStyle w:val="TextBody"/>
        <w:bidi w:val="0"/>
        <w:spacing w:before="0" w:after="0"/>
        <w:jc w:val="center"/>
        <w:rPr>
          <w:rFonts w:ascii="Arial" w:hAnsi="Arial"/>
          <w:b/>
          <w:sz w:val="17"/>
        </w:rPr>
      </w:pPr>
      <w:r>
        <w:rPr>
          <w:rFonts w:ascii="Arial" w:hAnsi="Arial"/>
          <w:b/>
          <w:sz w:val="17"/>
        </w:rPr>
        <w:t xml:space="preserve">(888) 743-2290 </w:t>
      </w:r>
    </w:p>
    <w:p>
      <w:pPr>
        <w:pStyle w:val="TextBody"/>
        <w:bidi w:val="0"/>
        <w:spacing w:before="0" w:after="0"/>
        <w:jc w:val="center"/>
        <w:rPr>
          <w:rFonts w:ascii="Arial" w:hAnsi="Arial"/>
          <w:b/>
          <w:sz w:val="16"/>
        </w:rPr>
      </w:pPr>
      <w:r>
        <w:rPr>
          <w:rFonts w:ascii="Arial" w:hAnsi="Arial"/>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sz w:val="17"/>
        </w:rPr>
      </w:pPr>
      <w:r>
        <w:rPr>
          <w:rFonts w:ascii="Arial" w:hAnsi="Arial"/>
          <w:b/>
          <w:sz w:val="17"/>
        </w:rPr>
        <w:t xml:space="preserve">Quehuong (Kathy) Dong, Pharm.D., M.B.A. </w:t>
      </w:r>
    </w:p>
    <w:p>
      <w:pPr>
        <w:pStyle w:val="TextBody"/>
        <w:bidi w:val="0"/>
        <w:spacing w:before="0" w:after="0"/>
        <w:jc w:val="center"/>
        <w:rPr>
          <w:rFonts w:ascii="Arial" w:hAnsi="Arial"/>
          <w:b/>
          <w:sz w:val="17"/>
        </w:rPr>
      </w:pPr>
      <w:r>
        <w:rPr>
          <w:rFonts w:ascii="Arial" w:hAnsi="Arial"/>
          <w:b/>
          <w:sz w:val="17"/>
        </w:rPr>
        <w:t xml:space="preserve">President and Chief Executive Officer </w:t>
      </w:r>
    </w:p>
    <w:p>
      <w:pPr>
        <w:pStyle w:val="TextBody"/>
        <w:bidi w:val="0"/>
        <w:spacing w:before="0" w:after="0"/>
        <w:jc w:val="center"/>
        <w:rPr>
          <w:rFonts w:ascii="Arial" w:hAnsi="Arial"/>
          <w:b/>
          <w:sz w:val="17"/>
        </w:rPr>
      </w:pPr>
      <w:r>
        <w:rPr>
          <w:rFonts w:ascii="Arial" w:hAnsi="Arial"/>
          <w:b/>
          <w:sz w:val="17"/>
        </w:rPr>
        <w:t xml:space="preserve">230 E Grand Avenue </w:t>
      </w:r>
    </w:p>
    <w:p>
      <w:pPr>
        <w:pStyle w:val="TextBody"/>
        <w:bidi w:val="0"/>
        <w:spacing w:before="0" w:after="0"/>
        <w:jc w:val="center"/>
        <w:rPr>
          <w:rFonts w:ascii="Arial" w:hAnsi="Arial"/>
          <w:b/>
          <w:sz w:val="17"/>
        </w:rPr>
      </w:pPr>
      <w:r>
        <w:rPr>
          <w:rFonts w:ascii="Arial" w:hAnsi="Arial"/>
          <w:b/>
          <w:sz w:val="17"/>
        </w:rPr>
        <w:t xml:space="preserve">Suite S-100 </w:t>
      </w:r>
    </w:p>
    <w:p>
      <w:pPr>
        <w:pStyle w:val="TextBody"/>
        <w:bidi w:val="0"/>
        <w:spacing w:before="0" w:after="0"/>
        <w:jc w:val="center"/>
        <w:rPr>
          <w:rFonts w:ascii="Arial" w:hAnsi="Arial"/>
          <w:b/>
          <w:sz w:val="17"/>
        </w:rPr>
      </w:pPr>
      <w:r>
        <w:rPr>
          <w:rFonts w:ascii="Arial" w:hAnsi="Arial"/>
          <w:b/>
          <w:sz w:val="17"/>
        </w:rPr>
        <w:t xml:space="preserve">South San Francisco, California 94080 </w:t>
      </w:r>
    </w:p>
    <w:p>
      <w:pPr>
        <w:pStyle w:val="TextBody"/>
        <w:bidi w:val="0"/>
        <w:spacing w:before="0" w:after="0"/>
        <w:jc w:val="center"/>
        <w:rPr>
          <w:rFonts w:ascii="Arial" w:hAnsi="Arial"/>
          <w:b/>
          <w:sz w:val="17"/>
        </w:rPr>
      </w:pPr>
      <w:r>
        <w:rPr>
          <w:rFonts w:ascii="Arial" w:hAnsi="Arial"/>
          <w:b/>
          <w:sz w:val="17"/>
        </w:rPr>
        <w:t xml:space="preserve">(888) 743-2290 </w:t>
      </w:r>
    </w:p>
    <w:p>
      <w:pPr>
        <w:pStyle w:val="TextBody"/>
        <w:bidi w:val="0"/>
        <w:spacing w:before="0" w:after="0"/>
        <w:jc w:val="center"/>
        <w:rPr>
          <w:rFonts w:ascii="Arial" w:hAnsi="Arial"/>
          <w:b/>
          <w:sz w:val="16"/>
        </w:rPr>
      </w:pPr>
      <w:r>
        <w:rPr>
          <w:rFonts w:ascii="Arial" w:hAnsi="Arial"/>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center"/>
        <w:rPr>
          <w:rFonts w:ascii="Arial" w:hAnsi="Arial"/>
          <w:b/>
          <w:i/>
          <w:sz w:val="18"/>
        </w:rPr>
      </w:pPr>
      <w:r>
        <w:rPr>
          <w:rFonts w:ascii="Arial" w:hAnsi="Arial"/>
          <w:b/>
          <w:i/>
          <w:sz w:val="18"/>
        </w:rPr>
        <w:t xml:space="preserve">Copies to: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Arial" w:hAnsi="Arial"/>
                <w:b/>
                <w:sz w:val="17"/>
              </w:rPr>
            </w:pPr>
            <w:r>
              <w:rPr>
                <w:rFonts w:ascii="Arial" w:hAnsi="Arial"/>
                <w:b/>
                <w:sz w:val="17"/>
              </w:rPr>
              <w:t>Charles Bair</w:t>
            </w:r>
          </w:p>
          <w:p>
            <w:pPr>
              <w:pStyle w:val="TableContents"/>
              <w:bidi w:val="0"/>
              <w:spacing w:before="0" w:after="0"/>
              <w:jc w:val="center"/>
              <w:rPr>
                <w:rFonts w:ascii="Arial" w:hAnsi="Arial"/>
                <w:b/>
                <w:sz w:val="17"/>
              </w:rPr>
            </w:pPr>
            <w:r>
              <w:rPr>
                <w:rFonts w:ascii="Arial" w:hAnsi="Arial"/>
                <w:b/>
                <w:sz w:val="17"/>
              </w:rPr>
              <w:t>Charles S. Kim</w:t>
            </w:r>
          </w:p>
          <w:p>
            <w:pPr>
              <w:pStyle w:val="TableContents"/>
              <w:bidi w:val="0"/>
              <w:spacing w:before="0" w:after="0"/>
              <w:jc w:val="center"/>
              <w:rPr>
                <w:rFonts w:ascii="Arial" w:hAnsi="Arial"/>
                <w:b/>
                <w:sz w:val="17"/>
              </w:rPr>
            </w:pPr>
            <w:r>
              <w:rPr>
                <w:rFonts w:ascii="Arial" w:hAnsi="Arial"/>
                <w:b/>
                <w:sz w:val="17"/>
              </w:rPr>
              <w:t>Sara Semnani</w:t>
            </w:r>
          </w:p>
          <w:p>
            <w:pPr>
              <w:pStyle w:val="TableContents"/>
              <w:bidi w:val="0"/>
              <w:spacing w:before="0" w:after="0"/>
              <w:jc w:val="center"/>
              <w:rPr>
                <w:rFonts w:ascii="Arial" w:hAnsi="Arial"/>
                <w:b/>
                <w:sz w:val="17"/>
              </w:rPr>
            </w:pPr>
            <w:r>
              <w:rPr>
                <w:rFonts w:ascii="Arial" w:hAnsi="Arial"/>
                <w:b/>
                <w:sz w:val="17"/>
              </w:rPr>
              <w:t>Dylan Kornbluth</w:t>
            </w:r>
          </w:p>
          <w:p>
            <w:pPr>
              <w:pStyle w:val="TableContents"/>
              <w:bidi w:val="0"/>
              <w:spacing w:before="0" w:after="0"/>
              <w:jc w:val="center"/>
              <w:rPr>
                <w:rFonts w:ascii="Arial" w:hAnsi="Arial"/>
                <w:b/>
                <w:sz w:val="17"/>
              </w:rPr>
            </w:pPr>
            <w:r>
              <w:rPr>
                <w:rFonts w:ascii="Arial" w:hAnsi="Arial"/>
                <w:b/>
                <w:sz w:val="17"/>
              </w:rPr>
              <w:t>Cooley LLP</w:t>
            </w:r>
          </w:p>
          <w:p>
            <w:pPr>
              <w:pStyle w:val="TableContents"/>
              <w:bidi w:val="0"/>
              <w:spacing w:before="0" w:after="0"/>
              <w:jc w:val="center"/>
              <w:rPr>
                <w:rFonts w:ascii="Arial" w:hAnsi="Arial"/>
                <w:b/>
                <w:sz w:val="17"/>
              </w:rPr>
            </w:pPr>
            <w:r>
              <w:rPr>
                <w:rFonts w:ascii="Arial" w:hAnsi="Arial"/>
                <w:b/>
                <w:sz w:val="17"/>
              </w:rPr>
              <w:t>10265 Science Center Drive</w:t>
            </w:r>
          </w:p>
          <w:p>
            <w:pPr>
              <w:pStyle w:val="TableContents"/>
              <w:bidi w:val="0"/>
              <w:spacing w:before="0" w:after="0"/>
              <w:jc w:val="center"/>
              <w:rPr>
                <w:rFonts w:ascii="Arial" w:hAnsi="Arial"/>
                <w:b/>
                <w:sz w:val="17"/>
              </w:rPr>
            </w:pPr>
            <w:r>
              <w:rPr>
                <w:rFonts w:ascii="Arial" w:hAnsi="Arial"/>
                <w:b/>
                <w:sz w:val="17"/>
              </w:rPr>
              <w:t>San Diego, California 92121</w:t>
            </w:r>
          </w:p>
          <w:p>
            <w:pPr>
              <w:pStyle w:val="TableContents"/>
              <w:bidi w:val="0"/>
              <w:spacing w:before="0" w:after="20"/>
              <w:jc w:val="center"/>
              <w:rPr>
                <w:rFonts w:ascii="Arial" w:hAnsi="Arial"/>
                <w:b/>
                <w:sz w:val="17"/>
              </w:rPr>
            </w:pPr>
            <w:r>
              <w:rPr>
                <w:rFonts w:ascii="Arial" w:hAnsi="Arial"/>
                <w:b/>
                <w:sz w:val="17"/>
              </w:rPr>
              <w:t>(858) 550-6000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7"/>
              </w:rPr>
            </w:pPr>
            <w:r>
              <w:rPr>
                <w:rFonts w:ascii="Arial" w:hAnsi="Arial"/>
                <w:b/>
                <w:sz w:val="17"/>
              </w:rPr>
              <w:t>Chris Clark, C.F.A.</w:t>
            </w:r>
          </w:p>
          <w:p>
            <w:pPr>
              <w:pStyle w:val="TableContents"/>
              <w:bidi w:val="0"/>
              <w:spacing w:before="0" w:after="0"/>
              <w:jc w:val="center"/>
              <w:rPr>
                <w:rFonts w:ascii="Arial" w:hAnsi="Arial"/>
                <w:b/>
                <w:sz w:val="17"/>
              </w:rPr>
            </w:pPr>
            <w:r>
              <w:rPr>
                <w:rFonts w:ascii="Arial" w:hAnsi="Arial"/>
                <w:b/>
                <w:sz w:val="17"/>
              </w:rPr>
              <w:t>Chief Financial Officer</w:t>
            </w:r>
          </w:p>
          <w:p>
            <w:pPr>
              <w:pStyle w:val="TableContents"/>
              <w:bidi w:val="0"/>
              <w:spacing w:before="0" w:after="0"/>
              <w:jc w:val="center"/>
              <w:rPr>
                <w:rFonts w:ascii="Arial" w:hAnsi="Arial"/>
                <w:b/>
                <w:sz w:val="17"/>
              </w:rPr>
            </w:pPr>
            <w:r>
              <w:rPr>
                <w:rFonts w:ascii="Arial" w:hAnsi="Arial"/>
                <w:b/>
                <w:sz w:val="17"/>
              </w:rPr>
              <w:t>Electra Therapeutics, Inc.</w:t>
            </w:r>
          </w:p>
          <w:p>
            <w:pPr>
              <w:pStyle w:val="TableContents"/>
              <w:bidi w:val="0"/>
              <w:spacing w:before="0" w:after="0"/>
              <w:jc w:val="center"/>
              <w:rPr>
                <w:rFonts w:ascii="Arial" w:hAnsi="Arial"/>
                <w:b/>
                <w:sz w:val="17"/>
              </w:rPr>
            </w:pPr>
            <w:r>
              <w:rPr>
                <w:rFonts w:ascii="Arial" w:hAnsi="Arial"/>
                <w:b/>
                <w:sz w:val="17"/>
              </w:rPr>
              <w:t>230 E Grand Avenue</w:t>
            </w:r>
          </w:p>
          <w:p>
            <w:pPr>
              <w:pStyle w:val="TableContents"/>
              <w:bidi w:val="0"/>
              <w:spacing w:before="0" w:after="0"/>
              <w:jc w:val="center"/>
              <w:rPr>
                <w:rFonts w:ascii="Arial" w:hAnsi="Arial"/>
                <w:b/>
                <w:sz w:val="17"/>
              </w:rPr>
            </w:pPr>
            <w:r>
              <w:rPr>
                <w:rFonts w:ascii="Arial" w:hAnsi="Arial"/>
                <w:b/>
                <w:sz w:val="17"/>
              </w:rPr>
              <w:t>Suite S-100</w:t>
            </w:r>
          </w:p>
          <w:p>
            <w:pPr>
              <w:pStyle w:val="TableContents"/>
              <w:bidi w:val="0"/>
              <w:spacing w:before="0" w:after="0"/>
              <w:jc w:val="center"/>
              <w:rPr>
                <w:rFonts w:ascii="Arial" w:hAnsi="Arial"/>
                <w:b/>
                <w:sz w:val="17"/>
              </w:rPr>
            </w:pPr>
            <w:r>
              <w:rPr>
                <w:rFonts w:ascii="Arial" w:hAnsi="Arial"/>
                <w:b/>
                <w:sz w:val="17"/>
              </w:rPr>
              <w:t>South San Francisco, California 94080</w:t>
            </w:r>
          </w:p>
          <w:p>
            <w:pPr>
              <w:pStyle w:val="TableContents"/>
              <w:bidi w:val="0"/>
              <w:spacing w:before="0" w:after="20"/>
              <w:jc w:val="center"/>
              <w:rPr>
                <w:rFonts w:ascii="Arial" w:hAnsi="Arial"/>
                <w:b/>
                <w:sz w:val="17"/>
              </w:rPr>
            </w:pPr>
            <w:r>
              <w:rPr>
                <w:rFonts w:ascii="Arial" w:hAnsi="Arial"/>
                <w:b/>
                <w:sz w:val="17"/>
              </w:rPr>
              <w:t>(888) 743-2290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Arial" w:hAnsi="Arial"/>
                <w:b/>
                <w:sz w:val="17"/>
              </w:rPr>
            </w:pPr>
            <w:r>
              <w:rPr>
                <w:rFonts w:ascii="Arial" w:hAnsi="Arial"/>
                <w:b/>
                <w:sz w:val="17"/>
              </w:rPr>
              <w:t>Matthew T. Bush</w:t>
            </w:r>
          </w:p>
          <w:p>
            <w:pPr>
              <w:pStyle w:val="TableContents"/>
              <w:bidi w:val="0"/>
              <w:spacing w:before="0" w:after="0"/>
              <w:jc w:val="center"/>
              <w:rPr>
                <w:rFonts w:ascii="Arial" w:hAnsi="Arial"/>
                <w:b/>
                <w:sz w:val="17"/>
              </w:rPr>
            </w:pPr>
            <w:r>
              <w:rPr>
                <w:rFonts w:ascii="Arial" w:hAnsi="Arial"/>
                <w:b/>
                <w:sz w:val="17"/>
              </w:rPr>
              <w:t>Latham &amp; Watkins LLP</w:t>
            </w:r>
          </w:p>
          <w:p>
            <w:pPr>
              <w:pStyle w:val="TableContents"/>
              <w:bidi w:val="0"/>
              <w:spacing w:before="0" w:after="0"/>
              <w:jc w:val="center"/>
              <w:rPr>
                <w:rFonts w:ascii="Arial" w:hAnsi="Arial"/>
                <w:b/>
                <w:sz w:val="17"/>
              </w:rPr>
            </w:pPr>
            <w:r>
              <w:rPr>
                <w:rFonts w:ascii="Arial" w:hAnsi="Arial"/>
                <w:b/>
                <w:sz w:val="17"/>
              </w:rPr>
              <w:t>12670 High Bluff Drive</w:t>
            </w:r>
          </w:p>
          <w:p>
            <w:pPr>
              <w:pStyle w:val="TableContents"/>
              <w:bidi w:val="0"/>
              <w:spacing w:before="0" w:after="0"/>
              <w:jc w:val="center"/>
              <w:rPr>
                <w:rFonts w:ascii="Arial" w:hAnsi="Arial"/>
                <w:b/>
                <w:sz w:val="17"/>
              </w:rPr>
            </w:pPr>
            <w:r>
              <w:rPr>
                <w:rFonts w:ascii="Arial" w:hAnsi="Arial"/>
                <w:b/>
                <w:sz w:val="17"/>
              </w:rPr>
              <w:t>San Diego, California 92130</w:t>
            </w:r>
          </w:p>
          <w:p>
            <w:pPr>
              <w:pStyle w:val="TableContents"/>
              <w:bidi w:val="0"/>
              <w:spacing w:before="0" w:after="20"/>
              <w:jc w:val="center"/>
              <w:rPr>
                <w:rFonts w:ascii="Arial" w:hAnsi="Arial"/>
                <w:b/>
                <w:sz w:val="17"/>
              </w:rPr>
            </w:pPr>
            <w:r>
              <w:rPr>
                <w:rFonts w:ascii="Arial" w:hAnsi="Arial"/>
                <w:b/>
                <w:sz w:val="17"/>
              </w:rPr>
              <w:t>(858) 523-5400</w:t>
            </w:r>
          </w:p>
        </w:tc>
      </w:tr>
    </w:tbl>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left"/>
        <w:rPr>
          <w:rFonts w:ascii="Arial" w:hAnsi="Arial"/>
          <w:sz w:val="17"/>
        </w:rPr>
      </w:pPr>
      <w:r>
        <w:rPr>
          <w:rFonts w:ascii="Arial" w:hAnsi="Arial"/>
          <w:b/>
          <w:sz w:val="17"/>
        </w:rPr>
        <w:t>Approximate date of commencement of proposed sale to the public</w:t>
      </w:r>
      <w:r>
        <w:rPr>
          <w:rFonts w:ascii="Arial" w:hAnsi="Arial"/>
          <w:sz w:val="17"/>
        </w:rPr>
        <w:t xml:space="preserve">: As soon as practicable after this Registration Statement is declared effective. </w:t>
      </w:r>
    </w:p>
    <w:p>
      <w:pPr>
        <w:pStyle w:val="TextBody"/>
        <w:bidi w:val="0"/>
        <w:spacing w:before="60" w:after="0"/>
        <w:jc w:val="left"/>
        <w:rPr>
          <w:rFonts w:ascii="Arial" w:hAnsi="Arial"/>
          <w:sz w:val="17"/>
        </w:rPr>
      </w:pPr>
      <w:r>
        <w:rPr>
          <w:rFonts w:ascii="Arial" w:hAnsi="Arial"/>
          <w:sz w:val="17"/>
        </w:rPr>
        <w:t xml:space="preserve">If any of the securities being registered on this form are to be offered on a delayed or continuous basis pursuant to Rule 415 under the Securities Act of 1933, as amended, check the following box. ☐ </w:t>
      </w:r>
    </w:p>
    <w:p>
      <w:pPr>
        <w:pStyle w:val="TextBody"/>
        <w:bidi w:val="0"/>
        <w:spacing w:before="60" w:after="0"/>
        <w:jc w:val="left"/>
        <w:rPr>
          <w:rFonts w:ascii="Arial" w:hAnsi="Arial"/>
          <w:sz w:val="17"/>
        </w:rPr>
      </w:pPr>
      <w:r>
        <w:rPr>
          <w:rFonts w:ascii="Arial" w:hAnsi="Arial"/>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7"/>
        </w:rPr>
      </w:pPr>
      <w:r>
        <w:rPr>
          <w:rFonts w:ascii="Arial" w:hAnsi="Arial"/>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7"/>
        </w:rPr>
      </w:pPr>
      <w:r>
        <w:rPr>
          <w:rFonts w:ascii="Arial" w:hAnsi="Arial"/>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7"/>
        </w:rPr>
      </w:pPr>
      <w:r>
        <w:rPr>
          <w:rFonts w:ascii="Arial" w:hAnsi="Arial"/>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3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60" w:after="0"/>
        <w:jc w:val="left"/>
        <w:rPr>
          <w:rFonts w:ascii="Arial" w:hAnsi="Arial"/>
          <w:sz w:val="17"/>
        </w:rPr>
      </w:pPr>
      <w:r>
        <w:rPr>
          <w:rFonts w:ascii="Arial" w:hAnsi="Arial"/>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60" w:after="0"/>
        <w:jc w:val="left"/>
        <w:rPr>
          <w:rFonts w:ascii="Arial" w:hAnsi="Arial"/>
          <w:b/>
          <w:sz w:val="17"/>
        </w:rPr>
      </w:pPr>
      <w:r>
        <w:rPr>
          <w:rFonts w:ascii="Arial" w:hAnsi="Arial"/>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21128"/>
          <w:sz w:val="20"/>
        </w:rPr>
      </w:pPr>
      <w:r>
        <w:rPr>
          <w:rFonts w:ascii="Arial" w:hAnsi="Arial"/>
          <w:b/>
          <w:color w:val="C2112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Arial" w:hAnsi="Arial"/>
          <w:color w:val="C21128"/>
          <w:sz w:val="20"/>
        </w:rPr>
      </w:pPr>
      <w:r>
        <w:rPr>
          <w:rFonts w:ascii="Arial" w:hAnsi="Arial"/>
          <w:color w:val="C21128"/>
          <w:sz w:val="20"/>
        </w:rPr>
        <w:t xml:space="preserve">SUBJECT TO COMPLETION, DATED    , 2026 </w:t>
      </w:r>
    </w:p>
    <w:p>
      <w:pPr>
        <w:pStyle w:val="TextBody"/>
        <w:bidi w:val="0"/>
        <w:spacing w:before="0" w:after="0"/>
        <w:ind w:left="960" w:right="960" w:hanging="0"/>
        <w:jc w:val="left"/>
        <w:rPr>
          <w:rFonts w:ascii="Arial" w:hAnsi="Arial"/>
          <w:b/>
          <w:sz w:val="20"/>
        </w:rPr>
      </w:pPr>
      <w:r>
        <w:rPr>
          <w:rFonts w:ascii="Arial" w:hAnsi="Arial"/>
          <w:b/>
          <w:sz w:val="20"/>
        </w:rPr>
        <w:t xml:space="preserve">PRELIMINARY PROSPECTUS </w:t>
      </w:r>
    </w:p>
    <w:p>
      <w:pPr>
        <w:pStyle w:val="TextBody"/>
        <w:bidi w:val="0"/>
        <w:spacing w:before="720" w:after="0"/>
        <w:ind w:left="960" w:right="960" w:hanging="0"/>
        <w:jc w:val="center"/>
        <w:rPr/>
      </w:pPr>
      <w:r>
        <w:rPr/>
        <w:t>    </w:t>
      </w:r>
      <w:r>
        <w:rPr>
          <w:rFonts w:ascii="Arial" w:hAnsi="Arial"/>
          <w:b/>
          <w:sz w:val="32"/>
        </w:rPr>
        <w:t xml:space="preserve">Shares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735455" cy="649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5455" cy="649605"/>
                    </a:xfrm>
                    <a:prstGeom prst="rect">
                      <a:avLst/>
                    </a:prstGeom>
                  </pic:spPr>
                </pic:pic>
              </a:graphicData>
            </a:graphic>
          </wp:inline>
        </w:drawing>
      </w:r>
      <w:r>
        <w:rPr/>
        <w:t xml:space="preserve"> </w:t>
      </w:r>
    </w:p>
    <w:p>
      <w:pPr>
        <w:pStyle w:val="TextBody"/>
        <w:bidi w:val="0"/>
        <w:spacing w:before="240" w:after="0"/>
        <w:ind w:left="960" w:right="960" w:hanging="0"/>
        <w:jc w:val="center"/>
        <w:rPr>
          <w:rFonts w:ascii="Arial" w:hAnsi="Arial"/>
          <w:b/>
          <w:sz w:val="40"/>
        </w:rPr>
      </w:pPr>
      <w:r>
        <w:rPr>
          <w:rFonts w:ascii="Arial" w:hAnsi="Arial"/>
          <w:b/>
          <w:sz w:val="40"/>
        </w:rPr>
        <w:t xml:space="preserve">Electra Therapeutics, Inc. </w:t>
      </w:r>
    </w:p>
    <w:p>
      <w:pPr>
        <w:pStyle w:val="TextBody"/>
        <w:bidi w:val="0"/>
        <w:spacing w:before="240" w:after="0"/>
        <w:ind w:left="960" w:right="960" w:hanging="0"/>
        <w:jc w:val="center"/>
        <w:rPr>
          <w:rFonts w:ascii="Arial" w:hAnsi="Arial"/>
          <w:b/>
          <w:sz w:val="32"/>
        </w:rPr>
      </w:pPr>
      <w:r>
        <w:rPr>
          <w:rFonts w:ascii="Arial" w:hAnsi="Arial"/>
          <w:b/>
          <w:sz w:val="32"/>
        </w:rPr>
        <w:t xml:space="preserve">Common stock </w:t>
      </w:r>
    </w:p>
    <w:p>
      <w:pPr>
        <w:pStyle w:val="TextBody"/>
        <w:bidi w:val="0"/>
        <w:spacing w:before="240" w:after="0"/>
        <w:ind w:left="960" w:right="960" w:hanging="0"/>
        <w:jc w:val="left"/>
        <w:rPr>
          <w:rFonts w:ascii="Arial" w:hAnsi="Arial"/>
          <w:sz w:val="20"/>
        </w:rPr>
      </w:pPr>
      <w:r>
        <w:rPr>
          <w:rFonts w:ascii="Arial" w:hAnsi="Arial"/>
          <w:sz w:val="20"/>
        </w:rPr>
        <w:t xml:space="preserve">We are offering      shares of our common stock. This is our initial public offering, and no public market currently exists for our common stock. We currently expect that the initial public offering price will be between $     and $     per share of our common stock. We have applied to list our common stock on the Nasdaq Global Select Market (Nasdaq) under the symbol “ETRA.” We believe that upon the consummation of this offering, we will meet the standards for listing on Nasdaq, and the consummation of this offering is contingent upon such listing. </w:t>
      </w:r>
    </w:p>
    <w:p>
      <w:pPr>
        <w:pStyle w:val="TextBody"/>
        <w:bidi w:val="0"/>
        <w:spacing w:before="240" w:after="0"/>
        <w:ind w:left="960" w:right="960" w:hanging="0"/>
        <w:jc w:val="left"/>
        <w:rPr>
          <w:rFonts w:ascii="Arial" w:hAnsi="Arial"/>
          <w:sz w:val="20"/>
        </w:rPr>
      </w:pPr>
      <w:r>
        <w:rPr>
          <w:rFonts w:ascii="Arial" w:hAnsi="Arial"/>
          <w:sz w:val="20"/>
        </w:rPr>
        <w:t xml:space="preserve">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 </w:t>
      </w:r>
    </w:p>
    <w:p>
      <w:pPr>
        <w:pStyle w:val="TextBody"/>
        <w:bidi w:val="0"/>
        <w:spacing w:before="240" w:after="0"/>
        <w:ind w:left="960" w:right="960" w:hanging="0"/>
        <w:jc w:val="left"/>
        <w:rPr/>
      </w:pPr>
      <w:r>
        <w:rPr>
          <w:rFonts w:ascii="Arial" w:hAnsi="Arial"/>
          <w:b/>
          <w:sz w:val="20"/>
        </w:rPr>
        <w:t>Investing in our common stock involves a high degree of risk. See the section titled “</w:t>
      </w:r>
      <w:hyperlink w:anchor="toc61940_2">
        <w:r>
          <w:rPr>
            <w:rStyle w:val="InternetLink"/>
            <w:rFonts w:ascii="Arial" w:hAnsi="Arial"/>
            <w:b/>
            <w:sz w:val="20"/>
          </w:rPr>
          <w:t>Risk Factors</w:t>
        </w:r>
      </w:hyperlink>
      <w:r>
        <w:rPr>
          <w:rFonts w:ascii="Arial" w:hAnsi="Arial"/>
          <w:b/>
          <w:sz w:val="20"/>
        </w:rPr>
        <w:t xml:space="preserve">” beginning on page 12 of this prospectus to read about factors you should consider before buying shares of our common stock. </w:t>
      </w:r>
    </w:p>
    <w:p>
      <w:pPr>
        <w:pStyle w:val="TextBody"/>
        <w:bidi w:val="0"/>
        <w:spacing w:before="240" w:after="0"/>
        <w:ind w:left="960" w:right="960" w:hanging="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2" w:space="1" w:color="000000"/>
        </w:rPr>
      </w:pPr>
      <w:r>
        <w:rPr>
          <w:bdr w:val="single" w:sz="2" w:space="1" w:color="000000"/>
        </w:rPr>
        <w:t>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4688"/>
        <w:gridCol w:w="352"/>
        <w:gridCol w:w="176"/>
        <w:gridCol w:w="1387"/>
        <w:gridCol w:w="74"/>
        <w:gridCol w:w="352"/>
        <w:gridCol w:w="176"/>
        <w:gridCol w:w="1290"/>
        <w:gridCol w:w="77"/>
      </w:tblGrid>
      <w:tr>
        <w:trPr/>
        <w:tc>
          <w:tcPr>
            <w:tcW w:w="4688"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688"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56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4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77" w:type="dxa"/>
            <w:tcBorders/>
            <w:vAlign w:val="bottom"/>
          </w:tcPr>
          <w:p>
            <w:pPr>
              <w:pStyle w:val="TableContents"/>
              <w:bidi w:val="0"/>
              <w:spacing w:before="0" w:after="283"/>
              <w:jc w:val="left"/>
              <w:rPr/>
            </w:pPr>
            <w:r>
              <w:rPr/>
              <w:t> </w:t>
            </w:r>
          </w:p>
        </w:tc>
      </w:tr>
      <w:tr>
        <w:trPr/>
        <w:tc>
          <w:tcPr>
            <w:tcW w:w="4688" w:type="dxa"/>
            <w:tcBorders/>
            <w:shd w:fill="CCEEFF" w:val="clear"/>
            <w:vAlign w:val="bottom"/>
          </w:tcPr>
          <w:p>
            <w:pPr>
              <w:pStyle w:val="TableContents"/>
              <w:bidi w:val="0"/>
              <w:spacing w:before="0" w:after="0"/>
              <w:jc w:val="left"/>
              <w:rPr>
                <w:rFonts w:ascii="Arial" w:hAnsi="Arial"/>
                <w:sz w:val="20"/>
              </w:rPr>
            </w:pPr>
            <w:r>
              <w:rPr>
                <w:rFonts w:ascii="Arial" w:hAnsi="Arial"/>
                <w:sz w:val="20"/>
              </w:rPr>
              <w:t>Initial public offering price</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38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4688" w:type="dxa"/>
            <w:tcBorders/>
            <w:vAlign w:val="bottom"/>
          </w:tcPr>
          <w:p>
            <w:pPr>
              <w:pStyle w:val="TableContents"/>
              <w:bidi w:val="0"/>
              <w:spacing w:before="0" w:after="0"/>
              <w:jc w:val="left"/>
              <w:rPr>
                <w:rFonts w:ascii="Arial" w:hAnsi="Arial"/>
                <w:sz w:val="20"/>
              </w:rPr>
            </w:pPr>
            <w:r>
              <w:rPr>
                <w:rFonts w:ascii="Arial" w:hAnsi="Arial"/>
                <w:sz w:val="20"/>
              </w:rPr>
              <w:t>Underwriting discounts and commissions (1)</w:t>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9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r>
      <w:tr>
        <w:trPr/>
        <w:tc>
          <w:tcPr>
            <w:tcW w:w="4688"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to Electra Therapeutics, Inc., before expenses</w:t>
            </w:r>
          </w:p>
          <w:p>
            <w:pPr>
              <w:pStyle w:val="TableContents"/>
              <w:bidi w:val="0"/>
              <w:spacing w:before="0" w:after="20"/>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90" w:type="dxa"/>
            <w:tcBorders/>
            <w:shd w:fill="CCEEFF" w:val="clear"/>
            <w:vAlign w:val="bottom"/>
          </w:tcPr>
          <w:p>
            <w:pPr>
              <w:pStyle w:val="TableContents"/>
              <w:bidi w:val="0"/>
              <w:spacing w:before="0" w:after="283"/>
              <w:jc w:val="left"/>
              <w:rPr>
                <w:sz w:val="4"/>
                <w:szCs w:val="4"/>
              </w:rPr>
            </w:pPr>
            <w:r>
              <w:rPr>
                <w:sz w:val="4"/>
                <w:szCs w:val="4"/>
              </w:rPr>
            </w:r>
          </w:p>
        </w:tc>
        <w:tc>
          <w:tcPr>
            <w:tcW w:w="7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See the section titled “Underwriting” for additional information regarding underwriting compensation. </w:t>
            </w:r>
          </w:p>
        </w:tc>
      </w:tr>
    </w:tbl>
    <w:p>
      <w:pPr>
        <w:pStyle w:val="TextBody"/>
        <w:bidi w:val="0"/>
        <w:spacing w:before="240" w:after="0"/>
        <w:ind w:left="960" w:right="960" w:hanging="0"/>
        <w:jc w:val="left"/>
        <w:rPr>
          <w:rFonts w:ascii="Arial" w:hAnsi="Arial"/>
          <w:sz w:val="20"/>
        </w:rPr>
      </w:pPr>
      <w:r>
        <w:rPr>
          <w:rFonts w:ascii="Arial" w:hAnsi="Arial"/>
          <w:sz w:val="20"/>
        </w:rPr>
        <w:t xml:space="preserve">Delivery of the shares of common stock is expected to be made on or about    , 2026. </w:t>
      </w:r>
    </w:p>
    <w:p>
      <w:pPr>
        <w:pStyle w:val="TextBody"/>
        <w:bidi w:val="0"/>
        <w:spacing w:before="240" w:after="0"/>
        <w:ind w:left="960" w:right="960" w:hanging="0"/>
        <w:jc w:val="left"/>
        <w:rPr>
          <w:rFonts w:ascii="Arial" w:hAnsi="Arial"/>
          <w:sz w:val="20"/>
        </w:rPr>
      </w:pPr>
      <w:r>
        <w:rPr>
          <w:rFonts w:ascii="Arial" w:hAnsi="Arial"/>
          <w:sz w:val="20"/>
        </w:rPr>
        <w:t xml:space="preserve">We have granted the underwriters an option for a period of 30 days from the date of this prospectus to purchase up to an additional    shares of our common stock. If the underwriters exercise the option in full, the total underwriting discounts and commissions payable by us will be $    , and the total proceeds to us, before expenses, will be $    .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02"/>
        <w:gridCol w:w="2960"/>
        <w:gridCol w:w="102"/>
        <w:gridCol w:w="3368"/>
        <w:gridCol w:w="102"/>
        <w:gridCol w:w="1633"/>
      </w:tblGrid>
      <w:tr>
        <w:trPr/>
        <w:tc>
          <w:tcPr>
            <w:tcW w:w="193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283"/>
              <w:jc w:val="left"/>
              <w:rPr>
                <w:b/>
              </w:rPr>
            </w:pPr>
            <w:r>
              <w:rPr>
                <w:b/>
              </w:rPr>
              <w:t>Jefferies</w:t>
            </w:r>
          </w:p>
        </w:tc>
        <w:tc>
          <w:tcPr>
            <w:tcW w:w="102"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b/>
              </w:rPr>
            </w:pPr>
            <w:r>
              <w:rPr>
                <w:b/>
              </w:rPr>
              <w:t>TD Cowen</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right"/>
              <w:rPr>
                <w:b/>
              </w:rPr>
            </w:pPr>
            <w:r>
              <w:rPr>
                <w:b/>
              </w:rPr>
              <w:t>Evercore ISI</w:t>
            </w:r>
          </w:p>
        </w:tc>
        <w:tc>
          <w:tcPr>
            <w:tcW w:w="102"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right"/>
              <w:rPr>
                <w:b/>
              </w:rPr>
            </w:pPr>
            <w:r>
              <w:rPr>
                <w:b/>
              </w:rPr>
              <w:t>Cantor</w:t>
            </w:r>
          </w:p>
        </w:tc>
      </w:tr>
    </w:tbl>
    <w:p>
      <w:pPr>
        <w:pStyle w:val="TextBody"/>
        <w:bidi w:val="0"/>
        <w:spacing w:before="720" w:after="0"/>
        <w:ind w:left="960" w:right="960" w:hanging="0"/>
        <w:jc w:val="center"/>
        <w:rPr>
          <w:rFonts w:ascii="Arial" w:hAnsi="Arial"/>
          <w:sz w:val="20"/>
        </w:rPr>
      </w:pPr>
      <w:r>
        <w:rPr>
          <w:rFonts w:ascii="Arial" w:hAnsi="Arial"/>
          <w:sz w:val="20"/>
        </w:rPr>
        <w:t xml:space="preserve">Prospectus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91"/>
        <w:gridCol w:w="154"/>
        <w:gridCol w:w="94"/>
        <w:gridCol w:w="603"/>
        <w:gridCol w:w="63"/>
      </w:tblGrid>
      <w:tr>
        <w:trPr/>
        <w:tc>
          <w:tcPr>
            <w:tcW w:w="929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9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91" w:type="dxa"/>
            <w:tcBorders/>
            <w:vAlign w:val="bottom"/>
          </w:tcPr>
          <w:p>
            <w:pPr>
              <w:pStyle w:val="TableContents"/>
              <w:bidi w:val="0"/>
              <w:spacing w:before="0" w:after="0"/>
              <w:jc w:val="left"/>
              <w:rPr/>
            </w:pPr>
            <w:hyperlink w:anchor="toc61940_1">
              <w:r>
                <w:rPr>
                  <w:rStyle w:val="InternetLink"/>
                  <w:rFonts w:ascii="Arial" w:hAnsi="Arial"/>
                  <w:sz w:val="19"/>
                </w:rPr>
                <w:t>PROSPECTUS SUMMARY</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
              <w:r>
                <w:rPr>
                  <w:rStyle w:val="InternetLink"/>
                  <w:rFonts w:ascii="Arial" w:hAnsi="Arial"/>
                  <w:sz w:val="19"/>
                </w:rPr>
                <w:t>RISK FACTORS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3">
              <w:r>
                <w:rPr>
                  <w:rStyle w:val="InternetLink"/>
                  <w:rFonts w:ascii="Arial" w:hAnsi="Arial"/>
                  <w:sz w:val="19"/>
                </w:rPr>
                <w:t>SPECIAL NOTE REGARDING FORWARD-LOOKING STATEMENTS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4">
              <w:r>
                <w:rPr>
                  <w:rStyle w:val="InternetLink"/>
                  <w:rFonts w:ascii="Arial" w:hAnsi="Arial"/>
                  <w:sz w:val="19"/>
                </w:rPr>
                <w:t>MARKET, INDUSTRY, AND OTHER DATA</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5">
              <w:r>
                <w:rPr>
                  <w:rStyle w:val="InternetLink"/>
                  <w:rFonts w:ascii="Arial" w:hAnsi="Arial"/>
                  <w:sz w:val="19"/>
                </w:rPr>
                <w:t>DIVIDEND POLICY</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6">
              <w:r>
                <w:rPr>
                  <w:rStyle w:val="InternetLink"/>
                  <w:rFonts w:ascii="Arial" w:hAnsi="Arial"/>
                  <w:sz w:val="19"/>
                </w:rPr>
                <w:t>USE OF PROCEEDS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7">
              <w:r>
                <w:rPr>
                  <w:rStyle w:val="InternetLink"/>
                  <w:rFonts w:ascii="Arial" w:hAnsi="Arial"/>
                  <w:sz w:val="19"/>
                </w:rPr>
                <w:t>CAPITALIZATION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8">
              <w:r>
                <w:rPr>
                  <w:rStyle w:val="InternetLink"/>
                  <w:rFonts w:ascii="Arial" w:hAnsi="Arial"/>
                  <w:sz w:val="19"/>
                </w:rPr>
                <w:t>DILUTION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9">
              <w:r>
                <w:rPr>
                  <w:rStyle w:val="InternetLink"/>
                  <w:rFonts w:ascii="Arial" w:hAnsi="Arial"/>
                  <w:sz w:val="19"/>
                </w:rPr>
                <w:t>MANAGEMENT’S DISCUSSION AND ANALYSIS OF FINANCIAL CONDITION AND RESULTS OF OPERATIONS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0">
              <w:r>
                <w:rPr>
                  <w:rStyle w:val="InternetLink"/>
                  <w:rFonts w:ascii="Arial" w:hAnsi="Arial"/>
                  <w:sz w:val="19"/>
                </w:rPr>
                <w:t>BUSINESS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1">
              <w:r>
                <w:rPr>
                  <w:rStyle w:val="InternetLink"/>
                  <w:rFonts w:ascii="Arial" w:hAnsi="Arial"/>
                  <w:sz w:val="19"/>
                </w:rPr>
                <w:t>MANAGEMENT</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2">
              <w:r>
                <w:rPr>
                  <w:rStyle w:val="InternetLink"/>
                  <w:rFonts w:ascii="Arial" w:hAnsi="Arial"/>
                  <w:sz w:val="19"/>
                </w:rPr>
                <w:t>EXECUTIVE AND DIRECTOR COMPENSATION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161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3">
              <w:r>
                <w:rPr>
                  <w:rStyle w:val="InternetLink"/>
                  <w:rFonts w:ascii="Arial" w:hAnsi="Arial"/>
                  <w:sz w:val="19"/>
                </w:rPr>
                <w:t>CERTAIN RELATIONSHIPS AND RELATED PERSON TRANSACTIONS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177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4">
              <w:r>
                <w:rPr>
                  <w:rStyle w:val="InternetLink"/>
                  <w:rFonts w:ascii="Arial" w:hAnsi="Arial"/>
                  <w:sz w:val="19"/>
                </w:rPr>
                <w:t>PRINCIPAL STOCKHOLDERS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182</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5">
              <w:r>
                <w:rPr>
                  <w:rStyle w:val="InternetLink"/>
                  <w:rFonts w:ascii="Arial" w:hAnsi="Arial"/>
                  <w:sz w:val="19"/>
                </w:rPr>
                <w:t>DESCRIPTION OF CAPITAL STOCK</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6">
              <w:r>
                <w:rPr>
                  <w:rStyle w:val="InternetLink"/>
                  <w:rFonts w:ascii="Arial" w:hAnsi="Arial"/>
                  <w:sz w:val="19"/>
                </w:rPr>
                <w:t>SHARES ELIGIBLE FOR FUTURE SALE</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7">
              <w:r>
                <w:rPr>
                  <w:rStyle w:val="InternetLink"/>
                  <w:rFonts w:ascii="Arial" w:hAnsi="Arial"/>
                  <w:sz w:val="19"/>
                </w:rPr>
                <w:t>MATERIAL U.S. FEDERAL INCOME TAX CONSEQUENCES TO NON-U.S. HOLDERS OF OUR COMMON STOCK</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8">
              <w:r>
                <w:rPr>
                  <w:rStyle w:val="InternetLink"/>
                  <w:rFonts w:ascii="Arial" w:hAnsi="Arial"/>
                  <w:sz w:val="19"/>
                </w:rPr>
                <w:t>UNDERWRITING</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198</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19">
              <w:r>
                <w:rPr>
                  <w:rStyle w:val="InternetLink"/>
                  <w:rFonts w:ascii="Arial" w:hAnsi="Arial"/>
                  <w:sz w:val="19"/>
                </w:rPr>
                <w:t>LEGAL MATTERS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0">
              <w:r>
                <w:rPr>
                  <w:rStyle w:val="InternetLink"/>
                  <w:rFonts w:ascii="Arial" w:hAnsi="Arial"/>
                  <w:sz w:val="19"/>
                </w:rPr>
                <w:t>EXPERTS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1">
              <w:r>
                <w:rPr>
                  <w:rStyle w:val="InternetLink"/>
                  <w:rFonts w:ascii="Arial" w:hAnsi="Arial"/>
                  <w:sz w:val="19"/>
                </w:rPr>
                <w:t>WHERE YOU CAN FIND MORE INFORMATION</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209</w:t>
            </w:r>
          </w:p>
        </w:tc>
        <w:tc>
          <w:tcPr>
            <w:tcW w:w="63" w:type="dxa"/>
            <w:tcBorders/>
            <w:vAlign w:val="bottom"/>
          </w:tcPr>
          <w:p>
            <w:pPr>
              <w:pStyle w:val="TableContents"/>
              <w:bidi w:val="0"/>
              <w:spacing w:before="0" w:after="283"/>
              <w:jc w:val="left"/>
              <w:rPr/>
            </w:pPr>
            <w:r>
              <w:rPr/>
              <w:t> </w:t>
            </w:r>
          </w:p>
        </w:tc>
      </w:tr>
      <w:tr>
        <w:trPr>
          <w:trHeight w:val="240" w:hRule="atLeast"/>
        </w:trPr>
        <w:tc>
          <w:tcPr>
            <w:tcW w:w="9291" w:type="dxa"/>
            <w:tcBorders/>
            <w:vAlign w:val="center"/>
          </w:tcPr>
          <w:p>
            <w:pPr>
              <w:pStyle w:val="TableContents"/>
              <w:bidi w:val="0"/>
              <w:spacing w:before="0" w:after="283"/>
              <w:jc w:val="left"/>
              <w:rPr>
                <w:sz w:val="4"/>
                <w:szCs w:val="4"/>
              </w:rPr>
            </w:pPr>
            <w:r>
              <w:rPr>
                <w:sz w:val="4"/>
                <w:szCs w:val="4"/>
              </w:rPr>
            </w:r>
          </w:p>
        </w:tc>
        <w:tc>
          <w:tcPr>
            <w:tcW w:w="914" w:type="dxa"/>
            <w:gridSpan w:val="4"/>
            <w:tcBorders/>
            <w:vAlign w:val="center"/>
          </w:tcPr>
          <w:p>
            <w:pPr>
              <w:pStyle w:val="TableContents"/>
              <w:bidi w:val="0"/>
              <w:spacing w:before="0" w:after="283"/>
              <w:jc w:val="left"/>
              <w:rPr>
                <w:sz w:val="4"/>
                <w:szCs w:val="4"/>
              </w:rPr>
            </w:pPr>
            <w:r>
              <w:rPr>
                <w:sz w:val="4"/>
                <w:szCs w:val="4"/>
              </w:rPr>
            </w:r>
          </w:p>
        </w:tc>
      </w:tr>
      <w:tr>
        <w:trPr/>
        <w:tc>
          <w:tcPr>
            <w:tcW w:w="9291" w:type="dxa"/>
            <w:tcBorders/>
            <w:vAlign w:val="bottom"/>
          </w:tcPr>
          <w:p>
            <w:pPr>
              <w:pStyle w:val="TableContents"/>
              <w:bidi w:val="0"/>
              <w:spacing w:before="0" w:after="0"/>
              <w:jc w:val="left"/>
              <w:rPr/>
            </w:pPr>
            <w:hyperlink w:anchor="toc61940_22">
              <w:r>
                <w:rPr>
                  <w:rStyle w:val="InternetLink"/>
                  <w:rFonts w:ascii="Arial" w:hAnsi="Arial"/>
                  <w:sz w:val="19"/>
                </w:rPr>
                <w:t>INDEX TO FINANCIAL STATEMENTS</w:t>
              </w:r>
            </w:hyperlink>
          </w:p>
        </w:tc>
        <w:tc>
          <w:tcPr>
            <w:tcW w:w="15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and the underwriters are offering to sell, and seeking offers to buy, shares of our common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stock only in jurisdictions where offers and sales are permitted. The information contained in this prospectus is accurate only as of the date on the front cover of this prospectus, or other earlier date stated in this prospectus, regardless of the time of delivery of this prospectus or any sale of shares of our common stock. Our business, financial condition, results of operations, and prospects may have changed since that date. </w:t>
      </w:r>
    </w:p>
    <w:p>
      <w:pPr>
        <w:pStyle w:val="TextBody"/>
        <w:bidi w:val="0"/>
        <w:spacing w:before="240" w:after="0"/>
        <w:jc w:val="left"/>
        <w:rPr>
          <w:rFonts w:ascii="Arial" w:hAnsi="Arial"/>
          <w:sz w:val="19"/>
        </w:rPr>
      </w:pPr>
      <w:r>
        <w:rPr>
          <w:rFonts w:ascii="Arial" w:hAnsi="Arial"/>
          <w:b/>
          <w:sz w:val="19"/>
        </w:rPr>
        <w:t>For investors outside of the United States</w:t>
      </w:r>
      <w:r>
        <w:rPr>
          <w:rFonts w:ascii="Arial" w:hAnsi="Arial"/>
          <w:sz w:val="19"/>
        </w:rPr>
        <w:t xml:space="preserve">: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bookmarkStart w:id="3" w:name="toc61940_1"/>
      <w:bookmarkEnd w:id="3"/>
      <w:r>
        <w:rPr>
          <w:rFonts w:ascii="Arial" w:hAnsi="Arial"/>
          <w:b/>
          <w:sz w:val="20"/>
          <w:bdr w:val="single" w:sz="8" w:space="1" w:color="000000"/>
        </w:rPr>
        <w:t xml:space="preserve">PROSPECTUS SUMMARY </w:t>
      </w:r>
    </w:p>
    <w:p>
      <w:pPr>
        <w:pStyle w:val="TextBody"/>
        <w:bidi w:val="0"/>
        <w:spacing w:before="360" w:after="0"/>
        <w:jc w:val="left"/>
        <w:rPr>
          <w:rFonts w:ascii="Arial" w:hAnsi="Arial"/>
          <w:sz w:val="19"/>
          <w:bdr w:val="single" w:sz="8" w:space="1" w:color="000000"/>
        </w:rPr>
      </w:pPr>
      <w:r>
        <w:rPr>
          <w:rFonts w:ascii="Arial" w:hAnsi="Arial"/>
          <w:sz w:val="19"/>
          <w:bdr w:val="single" w:sz="8" w:space="1" w:color="000000"/>
        </w:rPr>
        <w:t xml:space="preserve">This summary highlights selected information included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and “Special Note Regarding Forward-Looking Statements,” and our financial statements and the related notes included elsewhere in this prospectus, before making an investment decision. Unless the context otherwise requires, all references in this prospectus to “Electra Therapeutics,” “Electra,” “Registrant,” “we,” “us,” “our,” and “Company” refer to Electra Therapeutics, Inc.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Overview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To our knowledge, we are the first company to advance this SIRP-targeted precision immune cell depletion approach into clinical development and demonstrate proof-of-concept in humans.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lead product candidate is ipsoprubart, a novel pan-SIRP monoclonal antibody designed to selectively deplete pathological myeloid cells and T cells via binding to SIRP</w:t>
      </w:r>
      <w:r>
        <w:rPr>
          <w:rFonts w:ascii="SYMBOL" w:hAnsi="SYMBOL"/>
          <w:sz w:val="19"/>
          <w:bdr w:val="single" w:sz="8" w:space="1" w:color="000000"/>
        </w:rPr>
        <w:t>a</w:t>
      </w:r>
      <w:r>
        <w:rPr>
          <w:rFonts w:ascii="Arial" w:hAnsi="Arial"/>
          <w:sz w:val="19"/>
          <w:bdr w:val="single" w:sz="8" w:space="1" w:color="000000"/>
        </w:rPr>
        <w:t>/ß1/</w:t>
      </w:r>
      <w:r>
        <w:rPr>
          <w:rFonts w:ascii="SYMBOL" w:hAnsi="SYMBOL"/>
          <w:sz w:val="19"/>
          <w:bdr w:val="single" w:sz="8" w:space="1" w:color="000000"/>
        </w:rPr>
        <w:t>g</w:t>
      </w:r>
      <w:r>
        <w:rPr>
          <w:rFonts w:ascii="Arial" w:hAnsi="Arial"/>
          <w:sz w:val="19"/>
          <w:bdr w:val="single" w:sz="8" w:space="1" w:color="000000"/>
        </w:rPr>
        <w:t xml:space="preserve">, which is currently in a global registrational program for patients with secondary hemophagocytic lymphohistiocytosis (sHLH). In our Phase 1b trial, ipsoprubart was generally well tolerated and demonstrated a 100% 8-week overall survival (OS) rate and 100% overall response rate (ORR) in 12 frontline patients with malignancy-associated HLH (mHLH), the largest subset of sHLH and the population associated with the poorest outcomes. Of the 12 mHLH frontline patients, 10 achieved a partial response (PR) and two achieved a modified complete response (mCR). We are conducting SURPASS, our global Phase 2/3 registrational trial in newly diagnosed, treatment-naïve sHLH patients, as well as COMPASS, our natural history study designed to provide an external control comparator for SURPASS. We expect topline data in    . Ipsoprubart has received Breakthrough Therapy designation (BTD) from the U.S. Food and Drug Administration (FDA) and PRIority MEdicine (PRIME) designation from the European Medicines Agency (EMA), each granted for the treatment of sHLH broadly.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addition, eight evaluable sHLH patients with underlying T or B cell lymphomas treated with ipsoprubart across our Phase 1b trial and Expanded Access Program who had tumor response measurements within weeks of treatment ipsoprubart demonstrated a 100% objective tumor response rate, with seven out of eight patients achieving a complete response (CR). We are conducting a Phase 1 clinical trial evaluating ipsoprubart as a monotherapy in relapsed/refractory T cell and natural killer (NK) cell malignancies, with initial data expected in    .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We are also advancing ELA822, a novel SIRP</w:t>
      </w:r>
      <w:r>
        <w:rPr>
          <w:rFonts w:ascii="SYMBOL" w:hAnsi="SYMBOL"/>
          <w:sz w:val="19"/>
          <w:bdr w:val="single" w:sz="8" w:space="1" w:color="000000"/>
        </w:rPr>
        <w:t>g</w:t>
      </w:r>
      <w:r>
        <w:rPr>
          <w:rFonts w:ascii="Arial" w:hAnsi="Arial"/>
          <w:sz w:val="19"/>
          <w:bdr w:val="single" w:sz="8" w:space="1" w:color="000000"/>
        </w:rPr>
        <w:t xml:space="preserve">-specific monoclonal antibody designed to selectively deplete activated T cells, with potential applications across chronic T cell-mediated immune and inflammatory diseases. We have obtained regulatory clearance to initiate a Phase 1 clinical trial of ELA822 in healthy volunteers in Europe. We have activated our clinical trial site, and we expect initial data in    .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We have generated a proprietary library of SIRP-targeted antibodies with distinct profiles, developed over years of dedicated discovery and engineering. This platform provides substantial flexibility to align antibody design with the cellular biology and therapeutic objectives of each program, and we believe it positions us to pursue a broad range of indications involving pathogenic SIRP-expressing cells without requiring additional </w:t>
      </w:r>
      <w:r>
        <w:rPr>
          <w:rFonts w:ascii="Arial" w:hAnsi="Arial"/>
          <w:i/>
          <w:sz w:val="19"/>
          <w:bdr w:val="single" w:sz="8" w:space="1" w:color="000000"/>
        </w:rPr>
        <w:t>de novo</w:t>
      </w:r>
      <w:r>
        <w:rPr>
          <w:rFonts w:ascii="Arial" w:hAnsi="Arial"/>
          <w:sz w:val="19"/>
          <w:bdr w:val="single" w:sz="8" w:space="1" w:color="000000"/>
        </w:rPr>
        <w:t xml:space="preserve"> discovery efforts. From our proprietary library of SIRP-targeted antibodies, we have advanced two product candidates, ipsoprubart and ELA822, each designed for distinct disease settings, as shown in the chart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5800" cy="23355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5800" cy="2335530"/>
                    </a:xfrm>
                    <a:prstGeom prst="rect">
                      <a:avLst/>
                    </a:prstGeom>
                  </pic:spPr>
                </pic:pic>
              </a:graphicData>
            </a:graphic>
          </wp:inline>
        </w:drawing>
      </w:r>
      <w:r>
        <w:rPr>
          <w:bdr w:val="single" w:sz="8" w:space="1" w:color="000000"/>
        </w:rPr>
        <w:t xml:space="preserve">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Ipsoprubart for the Treatment of Secondary Hemophagocytic Lymphohistiocytosis (sHLH)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Ipsoprubart (formerly known as ELA026),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45%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non-International Classification of Diseases (ICD) (standardized diagnosis codes used to classify medical conditions) coded patients. As disease awareness increases, underlying triggering conditions become more prevalent, and diagnostic approaches become simpler, we believe the diagnosed incidence will continue to rise.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our completed Phase 1b trial, ipsoprubart was generally well tolerated and achieved 100% OS at 8 weeks in 12 frontline mHLH patients, alongside a 100% ORR, rapid improvement of key pharmacodynamic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has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topline data expected in    .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Ipsoprubart for the Treatment of T/NK Cell Malignancies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In eight patients treated across our Phase 1b trial and Expanded Access Program, who had tumor response measurements within weeks of treatment, ipsoprubart achieved a 100% objective tumor response rate, including an 88% CR rate. One patient with heavily refractory T cell lymphoma treated with ipsoprubart as a monotherapy experienced a CR with respect to both sHLH and the underlying T cell lymphoma. The patient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was alive as of the last follow-up, more than one year post treatment.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and we estimate a diagnosed incidence rate of more than 13,000 annually in the United States across the T/NK cell malignancy subtypes. Based on the anti-tumor activity observed in the patients from the Phase 1b trial and Expanded Access Program, we have initiated a Phase 1 clinical trial of ipsoprubart in relapsed/refractory T/NK cell malignancies and expect initial data in    .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ELA822 for the Treatment of Chronic Immune and Inflammatory Diseases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ELA822, our second product candidate, is a novel SIRP</w:t>
      </w:r>
      <w:r>
        <w:rPr>
          <w:rFonts w:ascii="SYMBOL" w:hAnsi="SYMBOL"/>
          <w:sz w:val="19"/>
          <w:bdr w:val="single" w:sz="8" w:space="1" w:color="000000"/>
        </w:rPr>
        <w:t>g</w:t>
      </w:r>
      <w:r>
        <w:rPr>
          <w:rFonts w:ascii="Arial" w:hAnsi="Arial"/>
          <w:sz w:val="19"/>
          <w:bdr w:val="single" w:sz="8" w:space="1" w:color="000000"/>
        </w:rPr>
        <w:t xml:space="preserve">-specific antibody designed to selectively deplete activated, pathogenic T cells while sparing naïve and regulatory myeloid cells and T cells – a target profile we believe is well suited for a broad range of chronic T cell-mediated immune and inflammatory diseases where durable efficacy and long-term tolerability are important therapeutic objectives. Nonclinical data for ELA822 demonstrated selective depletion of activated T cells and </w:t>
      </w:r>
      <w:r>
        <w:rPr>
          <w:rFonts w:ascii="Arial" w:hAnsi="Arial"/>
          <w:i/>
          <w:sz w:val="19"/>
          <w:bdr w:val="single" w:sz="8" w:space="1" w:color="000000"/>
        </w:rPr>
        <w:t>in vivo</w:t>
      </w:r>
      <w:r>
        <w:rPr>
          <w:rFonts w:ascii="Arial" w:hAnsi="Arial"/>
          <w:sz w:val="19"/>
          <w:bdr w:val="single" w:sz="8" w:space="1" w:color="000000"/>
        </w:rPr>
        <w:t xml:space="preserve"> activity in humanized models of T cell-driven diseases, including giant cell arteritis (GCA) and graft-versus-host disease (GvHD). ELA822 was well tolerated in non-human primate (NHP) studies. We have obtained regulatory clearance to initiate a Phase 1 clinical trial of ELA822 in healthy volunteers in Europe. We have activated our clinical trial site, and we expect initial data in   .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Approach: Precision SIRP-Targeted Immune Cell Depletion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The Unmet Need in Immune-Mediated Diseases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Pathogenic myeloid cells and T cells are key drivers of immune dysregulation across a broad range of diseases, including acute hyperinflammatory syndromes, chronic inflammatory conditions, and malignancies. Aberrant activation of these cells can lead to excessive release of numerous proinflammatory cytokines and mediators, driving tissue damage, systemic inflammation, and end-organ dysfunction. Current therapies are often limited either by broad immunosuppression associated with non-selective immune modulation or by insufficient disease control resulting from narrowly targeting individual cytokines.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believe that selectively eliminating activated pathogenic cells, while preserving host defense and immune homeostasis, may provide a more effective therapeutic approach for diseases driven by dysregulated myeloid cell and T cell activity. </w:t>
      </w:r>
    </w:p>
    <w:p>
      <w:pPr>
        <w:pStyle w:val="TextBody"/>
        <w:bidi w:val="0"/>
        <w:spacing w:before="80" w:after="0"/>
        <w:jc w:val="left"/>
        <w:rPr>
          <w:rFonts w:ascii="Arial" w:hAnsi="Arial"/>
          <w:b/>
          <w:i/>
          <w:sz w:val="19"/>
          <w:bdr w:val="single" w:sz="8" w:space="1" w:color="000000"/>
        </w:rPr>
      </w:pPr>
      <w:r>
        <w:rPr>
          <w:rFonts w:ascii="Arial" w:hAnsi="Arial"/>
          <w:b/>
          <w:i/>
          <w:sz w:val="19"/>
          <w:bdr w:val="single" w:sz="8" w:space="1" w:color="000000"/>
        </w:rPr>
        <w:t xml:space="preserve">SIRP Expression as a Marker of Immune Cell Activation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 xml:space="preserve">Our approach leverages the unique biology of SIRP to enable selective depletion of activated pathogenic cells. SIRP is a family of cell surface receptors involved in regulating immune homeostasis and inflammatory responses. Their expression is largely restricted to defined immune cell populations and can increase significantly as these cells become activated. This activation-dependent expression pattern creates a molecular marker, or flag, that can be targeted to selectively deplete disease-driving cells while sparing naïve and regulatory immune populations necessary for normal immune function.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The principal members of the SIRP family include SIRP</w:t>
      </w:r>
      <w:r>
        <w:rPr>
          <w:rFonts w:ascii="SYMBOL" w:hAnsi="SYMBOL"/>
          <w:sz w:val="19"/>
          <w:bdr w:val="single" w:sz="8" w:space="1" w:color="000000"/>
        </w:rPr>
        <w:t>a</w:t>
      </w:r>
      <w:r>
        <w:rPr>
          <w:rFonts w:ascii="Arial" w:hAnsi="Arial"/>
          <w:sz w:val="19"/>
          <w:bdr w:val="single" w:sz="8" w:space="1" w:color="000000"/>
        </w:rPr>
        <w:t xml:space="preserve"> and SIRPß1, expressed on dendritic cells and antigen-presenting cells (APCs), monocytes, macrophages, and granulocytes; and SIRP</w:t>
      </w:r>
      <w:r>
        <w:rPr>
          <w:rFonts w:ascii="SYMBOL" w:hAnsi="SYMBOL"/>
          <w:sz w:val="19"/>
          <w:bdr w:val="single" w:sz="8" w:space="1" w:color="000000"/>
        </w:rPr>
        <w:t>g</w:t>
      </w:r>
      <w:r>
        <w:rPr>
          <w:rFonts w:ascii="Arial" w:hAnsi="Arial"/>
          <w:sz w:val="19"/>
          <w:bdr w:val="single" w:sz="8" w:space="1" w:color="000000"/>
        </w:rPr>
        <w:t xml:space="preserve">, expressed predominantly on T cells, as shown in the figure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89295" cy="13150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9295" cy="131508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i/>
          <w:sz w:val="19"/>
          <w:bdr w:val="single" w:sz="8" w:space="1" w:color="000000"/>
        </w:rPr>
      </w:pPr>
      <w:r>
        <w:rPr>
          <w:rFonts w:ascii="Arial" w:hAnsi="Arial"/>
          <w:b/>
          <w:i/>
          <w:sz w:val="19"/>
          <w:bdr w:val="single" w:sz="8" w:space="1" w:color="000000"/>
        </w:rPr>
        <w:t xml:space="preserve">Our Distinct Approach to Precision SIRP-Targeted Cell Depletion </w:t>
      </w:r>
    </w:p>
    <w:p>
      <w:pPr>
        <w:pStyle w:val="TextBody"/>
        <w:bidi w:val="0"/>
        <w:spacing w:before="40" w:after="0"/>
        <w:jc w:val="left"/>
        <w:rPr>
          <w:rFonts w:ascii="Arial" w:hAnsi="Arial"/>
          <w:sz w:val="19"/>
          <w:bdr w:val="single" w:sz="8" w:space="1" w:color="000000"/>
        </w:rPr>
      </w:pPr>
      <w:r>
        <w:rPr>
          <w:rFonts w:ascii="Arial" w:hAnsi="Arial"/>
          <w:sz w:val="19"/>
          <w:bdr w:val="single" w:sz="8" w:space="1" w:color="000000"/>
        </w:rPr>
        <w:t>Historically, drug development involving SIRP has focused primarily on disrupting the CD47-SIRP</w:t>
      </w:r>
      <w:r>
        <w:rPr>
          <w:rFonts w:ascii="SYMBOL" w:hAnsi="SYMBOL"/>
          <w:sz w:val="19"/>
          <w:bdr w:val="single" w:sz="8" w:space="1" w:color="000000"/>
        </w:rPr>
        <w:t>a</w:t>
      </w:r>
      <w:r>
        <w:rPr>
          <w:rFonts w:ascii="Arial" w:hAnsi="Arial"/>
          <w:sz w:val="19"/>
          <w:bdr w:val="single" w:sz="8" w:space="1" w:color="000000"/>
        </w:rPr>
        <w:t xml:space="preserve"> interaction, an innate immune checkpoint commonly referred to as a “don’t eat me” signaling pathway that may be exploited by cancer cells to evade immune surveillance. These approaches have largely been pursued in oncology indications and, to date, have demonstrated limited monotherapy activity and encountered clinical development challenges.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approach differs fundamentally from these prior efforts. Rather than disrupting the CD47-SIRP</w:t>
      </w:r>
      <w:r>
        <w:rPr>
          <w:rFonts w:ascii="SYMBOL" w:hAnsi="SYMBOL"/>
          <w:sz w:val="19"/>
          <w:bdr w:val="single" w:sz="8" w:space="1" w:color="000000"/>
        </w:rPr>
        <w:t>a</w:t>
      </w:r>
      <w:r>
        <w:rPr>
          <w:rFonts w:ascii="Arial" w:hAnsi="Arial"/>
          <w:sz w:val="19"/>
          <w:bdr w:val="single" w:sz="8" w:space="1" w:color="000000"/>
        </w:rPr>
        <w:t xml:space="preserve"> signaling, we seek to preserve this pathway to maintain immune surveillance while leveraging the lineage-restricted and activation-dependent expression pattern of SIRP to selectively deplete activated pathogenic cells.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Our antibodies are designed to selectively bind SIRP-expressing cells without blocking or otherwise modulating CD47-SIRP</w:t>
      </w:r>
      <w:r>
        <w:rPr>
          <w:rFonts w:ascii="SYMBOL" w:hAnsi="SYMBOL"/>
          <w:sz w:val="19"/>
          <w:bdr w:val="single" w:sz="8" w:space="1" w:color="000000"/>
        </w:rPr>
        <w:t>a</w:t>
      </w:r>
      <w:r>
        <w:rPr>
          <w:rFonts w:ascii="Arial" w:hAnsi="Arial"/>
          <w:sz w:val="19"/>
          <w:bdr w:val="single" w:sz="8" w:space="1" w:color="000000"/>
        </w:rPr>
        <w:t xml:space="preserve"> signaling. Our approach is to mediate therapeutic activity through antibody-mediated elimination of the bound cell, achieved through antibody-dependent cellular cytotoxicity (ADCC) and antibody-dependent cellular phagocytosis (ADCP), resulting in elimination of the targeted pathogenic cell. Selectivity is enabled by differential SIRP expression between activated cells and naïve or regulatory immune cell populations. To our knowledge, we are the first company to advance this SIRP-targeted precision immune cell depletion approach into clinical development and demonstrate proof-of-concept in humans.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Strengths and Capabilities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have built differentiated capabilities spanning SIRP-targeted antibody discovery and the underlying SIRP biology, resulting in our current pipeline. Together, we believe the following factors will enable us to achieve our goal of developing, commercializing, and maximizing the impact of precision immune cell depletion therapies across multiple disease areas: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Proprietary and Expansive SIRP-Targeted Antibody Library with Broad Therapeutic Optionality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Deep Knowledge and Expertise in SIRP Biology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Proven Track Record of Drug Development and Commercialization in Immunology, Hematology and Oncology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Disciplined Research and Development Strategy and Efficient Execution for Advancing Novel Therapies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Our Strategy </w:t>
      </w:r>
    </w:p>
    <w:p>
      <w:pPr>
        <w:pStyle w:val="TextBody"/>
        <w:bidi w:val="0"/>
        <w:spacing w:before="120" w:after="0"/>
        <w:jc w:val="left"/>
        <w:rPr>
          <w:rFonts w:ascii="Arial" w:hAnsi="Arial"/>
          <w:sz w:val="19"/>
          <w:bdr w:val="single" w:sz="8" w:space="1" w:color="000000"/>
        </w:rPr>
      </w:pPr>
      <w:r>
        <w:rPr>
          <w:rFonts w:ascii="Arial" w:hAnsi="Arial"/>
          <w:sz w:val="19"/>
          <w:bdr w:val="single" w:sz="8" w:space="1" w:color="000000"/>
        </w:rPr>
        <w:t xml:space="preserve">Our goal is to become a leading company in precision immune cell depletion with first-in-class or best-in-class SIRP-targeted therapies designed to transform treatment for patients with immune-mediated diseases and cancer. To achieve this goal, we intend to pursue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ipsoprubart through our registrational program as a novel treatment for patients with sHLH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Expand the therapeutic application of ipsoprubart across hematologic malignancies and other inflammatory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Build a focused and capital-efficient commercial organization, initially centered on ipsoprubart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ELA822 and demonstrate proof-of-concept in clinical trials for chronic T cell-mediated immune and inflammatory diseases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Expand our pipeline in SIRP-targeted precision immunology and oncology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Selectively explore value-creating strategic collaborations to maximize the value of our programs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Summary of Risk Factors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Investing in our common stock involves significant risks. You should carefully consider the risks described in the section titled “Risk Factors” immediately following this prospectus summary and elsewhere in this prospectus before making a decision to invest in our common stock. If we are unable to successfully address these risks and challenges, our business, financial condition, results of operations, or prospects could be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materially and adversely affected. In such case, the trading price of our common stock would likely decline, and you may lose all or part of your investment. Below is a summary of some of the more significant risks we face.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have a limited operating history and have no products approved for commercial sale, which may make it difficult for investors to evaluate our business,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have incurred significant operating losses since our inception and have not generated any revenue. We expect to incur significant losses for the foreseeable future and may never generate any revenue or become profitable, or if we achieve profitability, we may not be able to maintain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are substantially dependent on the success of our lead product candidate, ipsoprubart, and our other product candidate, ELA822. If we are unable to advance the development of, receive regulatory approval for, and ultimately successfully commercialize ipsoprubart or ELA822,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There are currently no approved therapies for the treatment of sHLH broadly, and our research and development activities related to ipsoprubart for the treatment of sHLH broadly may never lead to an approved product. Our discovery and development programs are focused on SIRP-targeted precision immune cell depletion for patients with immune-mediated diseases and cancer, and the scientific discoveries that form the basis for our efforts to discover and develop product candidates are relatively new.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Drug development is a lengthy and expensive process, the outcome of clinical testing is inherently uncertain, and results of earlier nonclinical studies and clinical trials may not be predictive of future clinical trial results. We may incur additional costs or experience delays in completing, or ultimately be unable to complete, the development and commercialization of ipsoprubart, ELA822 and any future product candidates for many reasons, including a failure to replicate positive results from earlier nonclinical studies or clinical trials in ongoing or future nonclinical studies or clinical trials.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If we experience delays or difficulties in the enrollment of patients in clinical trials, our receipt of necessary regulatory approvals could be delayed or prevented.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future performance is dependent on our ability to retain key employees and to attract, retain and motivate qualified personnel and manage our human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face substantial competition, which may result in others discovering, developing or commercializing products before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If we or our future licensors are unable to obtain, maintain, defend, and enforce patent and other intellectual property protection for our current or future product candidates and technologies in the United States or other countries, or if the scope of the patent or other intellectual property protection obtained is not sufficiently broad, we may not be able to compete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We cannot ensure that patent rights relating to inventions described and claimed in our pending patent applications will issue or that patents based on our patent applications will not be challenged and rendered invalid and/or unenforceable.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We are dependent on sole source and limited source suppliers for certain drug products, raw materials, samples, components, and other materials used in our product candidates. If we are unable to source these supplies on a timely basis or establish longer-term contracts with our contract manufacturing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0"/>
        <w:gridCol w:w="9395"/>
      </w:tblGrid>
      <w:tr>
        <w:trPr/>
        <w:tc>
          <w:tcPr>
            <w:tcW w:w="810" w:type="dxa"/>
            <w:tcBorders/>
            <w:vAlign w:val="center"/>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Arial" w:hAnsi="Arial"/>
                <w:sz w:val="19"/>
              </w:rPr>
            </w:pPr>
            <w:r>
              <w:rPr>
                <w:rFonts w:ascii="Arial" w:hAnsi="Arial"/>
                <w:sz w:val="19"/>
              </w:rPr>
              <w:t xml:space="preserve">organizations (CMOs), we will not be able to complete our clinical trials on time and the development of our product candidates may be delayed.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rely, and intend to continue to rely, on third parties to conduct our clinical trials and perform some of our research and potential nonclinical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rely on third parties to manufacture our product candidates and clinical product supplies and we may not be able to obtain adequate supplies at a reasonable cost or in a timely way.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regulatory approval process is highly uncertain, and we may be unable to obtain, or may be delayed in obtaining, U.S. or foreign regulatory approval and, as a result, unable to commercialize ipsoprubart, ELA822 and any future product candidates. Even if we believe our current, or planned clinical trials are successful, regulatory authorities may not agree that they provide adequate data on safety or efficacy.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tc>
      </w:tr>
    </w:tbl>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Corporate Information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were originally incorporated under the laws of the State of Delaware in October 2018 as a wholly-owned subsidiary of Star Therapeutics LLC (Star), a private biotechnology company. In February 2022, in connection with our Series B Preferred Stock financing, we became a majority-owned subsidiary of Star. In June 2023, Star formed Electra Therapeutics LLC (Electra LLC) and contributed its shares of our Series A redeemable convertible preferred stock to Electra LLC in exchange for units of Electra LLC. In connection with being spun out of Star, Star then distributed in-kind the units of Electra LLC to its members, resulting in Star no longer being our parent company or otherwise holding any shares in us (the Spin-Out). As a result of the Spin-Out, we are no longer directly affiliated with Star. Our principal executive office is located at 230 E Grand Avenue, Suite S-100, South San Francisco, California 94080, and our telephone number is (888) 743-2290. Our website is </w:t>
      </w:r>
      <w:r>
        <w:rPr>
          <w:rFonts w:ascii="Arial" w:hAnsi="Arial"/>
          <w:i/>
          <w:sz w:val="19"/>
          <w:bdr w:val="single" w:sz="8" w:space="1" w:color="000000"/>
        </w:rPr>
        <w:t>www.electra-therapeutics.com</w:t>
      </w:r>
      <w:r>
        <w:rPr>
          <w:rFonts w:ascii="Arial" w:hAnsi="Arial"/>
          <w:sz w:val="19"/>
          <w:bdr w:val="single" w:sz="8" w:space="1" w:color="000000"/>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This prospectus contains references to our trademarks and to trademarks, tradenames and service marks belonging to other entities. Solely for convenience, trademarks and trade names referred to in this prospectus, including logos, artwork and other visual displays, may appear without the ® or  symbols, but such references are not intended to indicate, in any way, that we will not, or their respective owners will not assert, to the fullest extent under applicable law, our or their rights thereto, as applicable. We do not intend our use or display of other companies’ trade names or trademarks to imply a relationship with, or endorsement or sponsorship of us by, any other companies.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Implications of Being an Emerging Growth Company and a Smaller Reporting Company </w:t>
      </w:r>
    </w:p>
    <w:p>
      <w:pPr>
        <w:pStyle w:val="TextBody"/>
        <w:bidi w:val="0"/>
        <w:spacing w:before="80" w:after="0"/>
        <w:jc w:val="left"/>
        <w:rPr>
          <w:rFonts w:ascii="Arial" w:hAnsi="Arial"/>
          <w:sz w:val="19"/>
          <w:bdr w:val="single" w:sz="8" w:space="1" w:color="000000"/>
        </w:rPr>
      </w:pPr>
      <w:r>
        <w:rPr>
          <w:rFonts w:ascii="Arial" w:hAnsi="Arial"/>
          <w:sz w:val="19"/>
          <w:bdr w:val="single" w:sz="8" w:space="1" w:color="000000"/>
        </w:rPr>
        <w:t xml:space="preserve">We are an “emerging growth company” as defined in the Jumpstart Our Business Startups Act (JOBS Act), and we may remain an emerging growth company for up to five years following the closing of this offering.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as amended (Sarbanes-Oxley Act), reduced disclosure obligations regarding executive compensation in our periodic reports and proxy statements, and exemptions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19"/>
          <w:bdr w:val="single" w:sz="8" w:space="1" w:color="000000"/>
        </w:rPr>
      </w:pPr>
      <w:r>
        <w:rPr>
          <w:rFonts w:ascii="Arial" w:hAnsi="Arial"/>
          <w:sz w:val="19"/>
          <w:bdr w:val="single" w:sz="8" w:space="1" w:color="000000"/>
        </w:rPr>
        <w:t xml:space="preserve">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would cease to be an emerging growth company upon the earliest to occur of: (i) the last day of the fiscal year in which we have $1.235 billion or more in annual revenue; (ii) the date on which we first qualify as a large accelerated filer under the rules of the U.S. Securities and Exchange Commission (SEC); (iii) the date on which we have, in any three-year period, issued more than $1.0 billion in non-convertible debt securities; and (iv) the last day of the fiscal year ending after the fifth anniversary of this offering.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Common stock offered by us </w:t>
            </w:r>
          </w:p>
        </w:tc>
        <w:tc>
          <w:tcPr>
            <w:tcW w:w="6329"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sz w:val="19"/>
              </w:rPr>
            </w:pPr>
            <w:r>
              <w:rPr>
                <w:rFonts w:ascii="Arial" w:hAnsi="Arial"/>
                <w:sz w:val="19"/>
              </w:rPr>
              <w:t xml:space="preserve">Option to purchase additional shares of common stock </w:t>
            </w:r>
          </w:p>
        </w:tc>
        <w:tc>
          <w:tcPr>
            <w:tcW w:w="6328" w:type="dxa"/>
            <w:tcBorders/>
          </w:tcPr>
          <w:p>
            <w:pPr>
              <w:pStyle w:val="TableContents"/>
              <w:bidi w:val="0"/>
              <w:spacing w:before="0" w:after="283"/>
              <w:jc w:val="left"/>
              <w:rPr/>
            </w:pPr>
            <w:r>
              <w:rPr/>
              <w:t xml:space="preserve">We have granted the underwriters an option to purchase up to      additional shares of our common stock from us at the initial public offering price, less the underwriting discounts and commissions, at any time within 30 days of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Arial" w:hAnsi="Arial"/>
                <w:sz w:val="19"/>
              </w:rPr>
            </w:pPr>
            <w:r>
              <w:rPr>
                <w:rFonts w:ascii="Arial" w:hAnsi="Arial"/>
                <w:sz w:val="19"/>
              </w:rPr>
              <w:t xml:space="preserve">Common stock to be outstanding immediately after this offering </w:t>
            </w:r>
          </w:p>
        </w:tc>
        <w:tc>
          <w:tcPr>
            <w:tcW w:w="6326" w:type="dxa"/>
            <w:tcBorders/>
          </w:tcPr>
          <w:p>
            <w:pPr>
              <w:pStyle w:val="TableContents"/>
              <w:bidi w:val="0"/>
              <w:spacing w:before="0" w:after="283"/>
              <w:jc w:val="left"/>
              <w:rPr/>
            </w:pPr>
            <w:r>
              <w:rPr/>
              <w:t xml:space="preserve">    </w:t>
            </w:r>
            <w:r>
              <w:rPr/>
              <w:t xml:space="preserve">shares (or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sz w:val="19"/>
              </w:rPr>
            </w:pPr>
            <w:r>
              <w:rPr>
                <w:rFonts w:ascii="Arial" w:hAnsi="Arial"/>
                <w:sz w:val="19"/>
              </w:rPr>
              <w:t xml:space="preserve">Use of proceeds </w:t>
            </w:r>
          </w:p>
        </w:tc>
        <w:tc>
          <w:tcPr>
            <w:tcW w:w="6327" w:type="dxa"/>
            <w:tcBorders/>
          </w:tcPr>
          <w:p>
            <w:pPr>
              <w:pStyle w:val="TableContents"/>
              <w:bidi w:val="0"/>
              <w:spacing w:before="0" w:after="283"/>
              <w:jc w:val="left"/>
              <w:rPr/>
            </w:pPr>
            <w:r>
              <w:rPr/>
              <w:t xml:space="preserve">We estimate that the net proceeds to us from the sale of our common stock in this offering will be approximately $     million (or approximately $     million if the underwriters exercise their option to purchase additional shares in full), assuming an initial public offering price of $    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 and for other research and development activities, as well as for capital expenditures, working capital and other general corporate purposes. 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sz w:val="19"/>
              </w:rPr>
            </w:pPr>
            <w:r>
              <w:rPr>
                <w:rFonts w:ascii="Arial" w:hAnsi="Arial"/>
                <w:sz w:val="19"/>
              </w:rPr>
              <w:t xml:space="preserve">Risk factors </w:t>
            </w:r>
          </w:p>
        </w:tc>
        <w:tc>
          <w:tcPr>
            <w:tcW w:w="6329" w:type="dxa"/>
            <w:tcBorders/>
          </w:tcPr>
          <w:p>
            <w:pPr>
              <w:pStyle w:val="TableContents"/>
              <w:bidi w:val="0"/>
              <w:spacing w:before="0" w:after="283"/>
              <w:jc w:val="left"/>
              <w:rPr/>
            </w:pPr>
            <w:r>
              <w:rPr/>
              <w:t xml:space="preserve">See the section titled “Risk Factors” for additional information and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Arial" w:hAnsi="Arial"/>
                <w:sz w:val="19"/>
              </w:rPr>
            </w:pPr>
            <w:r>
              <w:rPr>
                <w:rFonts w:ascii="Arial" w:hAnsi="Arial"/>
                <w:sz w:val="19"/>
              </w:rPr>
              <w:t xml:space="preserve">Proposed Nasdaq Global Select Market trading symbol </w:t>
            </w:r>
          </w:p>
        </w:tc>
        <w:tc>
          <w:tcPr>
            <w:tcW w:w="6327" w:type="dxa"/>
            <w:tcBorders/>
          </w:tcPr>
          <w:p>
            <w:pPr>
              <w:pStyle w:val="TableContents"/>
              <w:bidi w:val="0"/>
              <w:spacing w:before="0" w:after="283"/>
              <w:jc w:val="left"/>
              <w:rPr/>
            </w:pPr>
            <w:r>
              <w:rPr/>
              <w:t>“</w:t>
            </w:r>
            <w:r>
              <w:rPr/>
              <w:t xml:space="preserve">ETRA”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The number of shares of our common stock to be outstanding after this offering set forth above is based on 59,158,361 shares of our common stock outstanding as of June 30, 2026, after giving effect to the automatic conversion of all outstanding shares of our redeemable convertible preferred stock into 59,114,361 shares of our common stock in connection with the closing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8,554,153 shares of our common stock issuable upon the exercise of stock options outstanding under the 2022 Stock Plan (2022 Plan) as of June 30, 2026, with a weighted-average exercise price of $3.27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the exercise of stock options outstanding granted under the 2022 Plan subsequent to June 30, 2026, with a weighted-average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Equity Incentive Plan (2026 Plan), which will become effective upon the execution and delivery of the underwriting agreement for this offering (which shares include    new shares plus the number of shares (not to exceed    shares) that remain available for the issuance of awards under the 2022 Plan, at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6"/>
        <w:gridCol w:w="9389"/>
      </w:tblGrid>
      <w:tr>
        <w:trPr/>
        <w:tc>
          <w:tcPr>
            <w:tcW w:w="816" w:type="dxa"/>
            <w:tcBorders/>
            <w:vAlign w:val="center"/>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Employee Stock Purchase Plan (ESPP), which will become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Unless otherwise indicated, the information in this prospectus reflects and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automatic conversion, in accordance with our existing certificate of incorporation, of all outstanding shares of our redeemable convertible preferred stock into an aggregate of 59,114,361 shares of our common stock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exercise of the outstanding stock options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no exercise by the underwriters of their option to purchase up to    additional shares of our common stock from us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filing and effectiveness of our amended and restated certificate of incorporation in Delaware in connection with the closing of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one-for-    reverse stock split of our common stock and redeemable convertible preferred stock to be effected on     , 2026.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SUMMARY FINANCIAL DATA </w:t>
      </w:r>
    </w:p>
    <w:p>
      <w:pPr>
        <w:pStyle w:val="TextBody"/>
        <w:bidi w:val="0"/>
        <w:spacing w:before="360" w:after="0"/>
        <w:jc w:val="left"/>
        <w:rPr>
          <w:rFonts w:ascii="Arial" w:hAnsi="Arial"/>
          <w:sz w:val="19"/>
          <w:bdr w:val="single" w:sz="8" w:space="1" w:color="000000"/>
        </w:rPr>
      </w:pPr>
      <w:r>
        <w:rPr>
          <w:rFonts w:ascii="Arial" w:hAnsi="Arial"/>
          <w:sz w:val="19"/>
          <w:bdr w:val="single" w:sz="8" w:space="1" w:color="000000"/>
        </w:rPr>
        <w:t xml:space="preserve">The following tables summarize our financial data as of and for the periods indicated. We have derived the summary statements of operations data for the years ended December 31, 2024 and 2025 from our audited financial statements included elsewhere in this prospectus. We have also derived the summary interim condensed statements of operations data for the six months ended June 30, 2025 and 2026, and the summary interim condensed balance sheet data as of June 30, 2026 from our unaudited interim condensed financial statements included elsewhere in this prospectus. Our audited financial statements and unaudited interim condensed financial statements included elsewhere in this prospectus have been prepared in accordance with U.S. generally accepted accounting principles (U.S. GAAP). Our unaudited interim condensed financial statements were prepared on a basis consistent with our audited financial statements and include, in our opinion, adjustments of a normal and recurring nature that are necessary for the fair statement of the financial information set forth in those statements included elsewhere in this prospectus. </w:t>
      </w:r>
    </w:p>
    <w:p>
      <w:pPr>
        <w:pStyle w:val="TextBody"/>
        <w:bidi w:val="0"/>
        <w:spacing w:before="180" w:after="0"/>
        <w:jc w:val="left"/>
        <w:rPr>
          <w:rFonts w:ascii="Arial" w:hAnsi="Arial"/>
          <w:sz w:val="19"/>
          <w:bdr w:val="single" w:sz="8" w:space="1" w:color="000000"/>
        </w:rPr>
      </w:pPr>
      <w:r>
        <w:rPr>
          <w:rFonts w:ascii="Arial" w:hAnsi="Arial"/>
          <w:sz w:val="19"/>
          <w:bdr w:val="single" w:sz="8" w:space="1" w:color="000000"/>
        </w:rPr>
        <w:t xml:space="preserve">Our historical results presented below are not necessarily indicative of the results to be expected for any future period. The following summaries of our financial data should be read in conjunction with the sections titled “Risk Factors,” “Capitalization,” and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 </w:t>
      </w:r>
    </w:p>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215"/>
        <w:gridCol w:w="252"/>
        <w:gridCol w:w="140"/>
        <w:gridCol w:w="814"/>
        <w:gridCol w:w="165"/>
        <w:gridCol w:w="209"/>
        <w:gridCol w:w="140"/>
        <w:gridCol w:w="1171"/>
        <w:gridCol w:w="155"/>
        <w:gridCol w:w="209"/>
        <w:gridCol w:w="140"/>
        <w:gridCol w:w="758"/>
        <w:gridCol w:w="155"/>
        <w:gridCol w:w="209"/>
        <w:gridCol w:w="140"/>
        <w:gridCol w:w="1171"/>
        <w:gridCol w:w="162"/>
      </w:tblGrid>
      <w:tr>
        <w:trPr/>
        <w:tc>
          <w:tcPr>
            <w:tcW w:w="421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639" w:type="dxa"/>
            <w:gridSpan w:val="6"/>
            <w:tcBorders>
              <w:bottom w:val="single" w:sz="2" w:space="0" w:color="000000"/>
            </w:tcBorders>
            <w:tcMar>
              <w:bottom w:w="28" w:type="dxa"/>
            </w:tcMar>
            <w:vAlign w:val="bottom"/>
          </w:tcPr>
          <w:p>
            <w:pPr>
              <w:pStyle w:val="TableContents"/>
              <w:bidi w:val="0"/>
              <w:spacing w:before="0" w:after="283"/>
              <w:jc w:val="center"/>
              <w:rPr/>
            </w:pPr>
            <w:r>
              <w:rPr>
                <w:b/>
              </w:rPr>
              <w:t>SIX MONTHS ENDED</w:t>
              <w:br/>
              <w:t>JUNE 30,</w:t>
            </w:r>
            <w:r>
              <w:rPr/>
              <w:br/>
            </w:r>
            <w:r>
              <w:rPr>
                <w:b/>
              </w:rPr>
              <w:t>(UNAUDITED)</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57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b/>
              </w:rPr>
            </w:pPr>
            <w:r>
              <w:rPr>
                <w:b/>
              </w:rPr>
              <w:t>(in thousands, except share and per share amounts)</w:t>
            </w:r>
          </w:p>
        </w:tc>
        <w:tc>
          <w:tcPr>
            <w:tcW w:w="252" w:type="dxa"/>
            <w:tcBorders/>
            <w:vAlign w:val="bottom"/>
          </w:tcPr>
          <w:p>
            <w:pPr>
              <w:pStyle w:val="TableContents"/>
              <w:bidi w:val="0"/>
              <w:spacing w:before="0" w:after="283"/>
              <w:jc w:val="left"/>
              <w:rPr/>
            </w:pPr>
            <w:r>
              <w:rPr/>
              <w:t>  </w:t>
            </w:r>
          </w:p>
        </w:tc>
        <w:tc>
          <w:tcPr>
            <w:tcW w:w="95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9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b/>
                <w:sz w:val="18"/>
              </w:rPr>
            </w:pPr>
            <w:r>
              <w:rPr>
                <w:rFonts w:ascii="Arial" w:hAnsi="Arial"/>
                <w:b/>
                <w:sz w:val="18"/>
              </w:rPr>
              <w:t>Statements of operations data:</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215" w:type="dxa"/>
            <w:tcBorders/>
          </w:tcPr>
          <w:p>
            <w:pPr>
              <w:pStyle w:val="TableContents"/>
              <w:bidi w:val="0"/>
              <w:spacing w:before="0" w:after="0"/>
              <w:jc w:val="left"/>
              <w:rPr>
                <w:rFonts w:ascii="Arial" w:hAnsi="Arial"/>
                <w:sz w:val="18"/>
              </w:rPr>
            </w:pPr>
            <w:r>
              <w:rPr>
                <w:rFonts w:ascii="Arial" w:hAnsi="Arial"/>
                <w:sz w:val="18"/>
              </w:rPr>
              <w:t>Operating expenses: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Research and development</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18,792</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41,637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19,267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50,387</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General and administrative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5,921</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8,593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5,241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10,390</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General and administrative—related party</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656</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1,809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1,112</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Total operating expenses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25,369</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50,230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26,317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61,889</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Loss from operations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(25,369</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(50,230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(26,317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(61,889</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Other income (expense), net: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Interest income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337</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1,320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1,362</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Interest expense—related party</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(327</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(1,433</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Other income (expense)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Total other income (expense), net</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1,531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(86</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Net loss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(25,361</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(61,975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Deemed dividend to Series C redeemable convertible preferred stockholders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(9,675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Net loss attributable to common stockholders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(25,361</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(58,587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(61,975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b/>
                <w:sz w:val="18"/>
              </w:rPr>
            </w:pPr>
            <w:r>
              <w:rPr>
                <w:rFonts w:ascii="Arial" w:hAnsi="Arial"/>
                <w:b/>
                <w:sz w:val="18"/>
              </w:rPr>
              <w:t>Comprehensive Loss: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7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Net loss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(25,361</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(61,975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Unrealized gain (loss) on marketable securities</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20</w:t>
            </w:r>
          </w:p>
        </w:tc>
        <w:tc>
          <w:tcPr>
            <w:tcW w:w="162" w:type="dxa"/>
            <w:tcBorders/>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Total comprehensive loss</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(25,362</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(48,946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(61,955</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 xml:space="preserve">Net loss per share attributable to common stockholders, basic and diluted (1) </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(576.39</w:t>
            </w:r>
          </w:p>
        </w:tc>
        <w:tc>
          <w:tcPr>
            <w:tcW w:w="16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(1,331.52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(563.32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(1,408.52</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 xml:space="preserve">Weighted-average common shares outstanding, basic and diluted (1) </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44,000</w:t>
            </w:r>
          </w:p>
        </w:tc>
        <w:tc>
          <w:tcPr>
            <w:tcW w:w="16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44,000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44,000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44,000</w:t>
            </w:r>
          </w:p>
        </w:tc>
        <w:tc>
          <w:tcPr>
            <w:tcW w:w="162" w:type="dxa"/>
            <w:tcBorders/>
            <w:shd w:fill="CCEEFF" w:val="clear"/>
            <w:vAlign w:val="bottom"/>
          </w:tcPr>
          <w:p>
            <w:pPr>
              <w:pStyle w:val="TableContents"/>
              <w:bidi w:val="0"/>
              <w:spacing w:before="0" w:after="283"/>
              <w:jc w:val="left"/>
              <w:rPr/>
            </w:pPr>
            <w:r>
              <w:rPr/>
              <w:t> </w:t>
            </w:r>
          </w:p>
        </w:tc>
      </w:tr>
      <w:tr>
        <w:trPr/>
        <w:tc>
          <w:tcPr>
            <w:tcW w:w="4215" w:type="dxa"/>
            <w:tcBorders/>
          </w:tcPr>
          <w:p>
            <w:pPr>
              <w:pStyle w:val="TableContents"/>
              <w:bidi w:val="0"/>
              <w:spacing w:before="0" w:after="0"/>
              <w:jc w:val="left"/>
              <w:rPr>
                <w:rFonts w:ascii="Arial" w:hAnsi="Arial"/>
                <w:sz w:val="18"/>
              </w:rPr>
            </w:pPr>
            <w:r>
              <w:rPr>
                <w:rFonts w:ascii="Arial" w:hAnsi="Arial"/>
                <w:sz w:val="18"/>
              </w:rPr>
              <w:t xml:space="preserve">Pro forma net loss per share attributable to common stockholders, basic and diluted (unaudited) (2) </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(0.99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(1.20</w:t>
            </w:r>
          </w:p>
        </w:tc>
        <w:tc>
          <w:tcPr>
            <w:tcW w:w="162" w:type="dxa"/>
            <w:tcBorders/>
            <w:vAlign w:val="bottom"/>
          </w:tcPr>
          <w:p>
            <w:pPr>
              <w:pStyle w:val="TableContents"/>
              <w:bidi w:val="0"/>
              <w:spacing w:before="0" w:after="283"/>
              <w:jc w:val="left"/>
              <w:rPr/>
            </w:pPr>
            <w:r>
              <w:rPr/>
              <w:t>) </w:t>
            </w:r>
          </w:p>
        </w:tc>
      </w:tr>
      <w:tr>
        <w:trPr/>
        <w:tc>
          <w:tcPr>
            <w:tcW w:w="4215" w:type="dxa"/>
            <w:tcBorders/>
            <w:shd w:fill="CCEEFF" w:val="clear"/>
          </w:tcPr>
          <w:p>
            <w:pPr>
              <w:pStyle w:val="TableContents"/>
              <w:bidi w:val="0"/>
              <w:spacing w:before="0" w:after="0"/>
              <w:jc w:val="left"/>
              <w:rPr>
                <w:rFonts w:ascii="Arial" w:hAnsi="Arial"/>
                <w:sz w:val="18"/>
              </w:rPr>
            </w:pPr>
            <w:r>
              <w:rPr>
                <w:rFonts w:ascii="Arial" w:hAnsi="Arial"/>
                <w:sz w:val="18"/>
              </w:rPr>
              <w:t xml:space="preserve">Pro forma weighted-average common shares outstanding, basic and diluted (unaudited) (2) </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59,158,361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51,779,653</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ind w:left="0" w:right="0" w:hanging="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See Note 14 to our audited financial statements and Note 13 to our unaudited interim condensed financial statements included elsewhere in this prospectus for details on the calculation of net loss per share attributable to common stockholders, basic and diluted.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Pro forma net loss per share attributable to common stockholders, basic and diluted, is calculated giving effect to the automatic conversion of all outstanding shares of our redeemable convertible preferred stock into shares of our common stock. Pro forma net loss per share attributable to common stockholders does not include the shares expected to be sold and related proceeds to be received in this offering. Pro forma net loss per share attributable to common stockholders (unaudited) for the year ended December 31, 2025 and for the six months ended June 30, 2026 was calculated using the weighted-average number of shares of our common stock outstanding, including the pro forma effect of the automatic conversion of all outstanding shares of our redeemable convertible preferred stock into shares of our common stock, as if such conversions had occurred at the beginning of the period.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bdr w:val="single" w:sz="8" w:space="1" w:color="000000"/>
        </w:rPr>
      </w:pPr>
      <w:r>
        <w:rPr>
          <w:bdr w:val="single" w:sz="8" w:space="1" w:color="000000"/>
        </w:rPr>
        <w:t> </w:t>
      </w:r>
    </w:p>
    <w:tbl>
      <w:tblPr>
        <w:tblW w:w="4850" w:type="pct"/>
        <w:jc w:val="right"/>
        <w:tblInd w:w="0" w:type="dxa"/>
        <w:tblLayout w:type="fixed"/>
        <w:tblCellMar>
          <w:top w:w="0" w:type="dxa"/>
          <w:left w:w="0" w:type="dxa"/>
          <w:bottom w:w="0" w:type="dxa"/>
          <w:right w:w="0" w:type="dxa"/>
        </w:tblCellMar>
      </w:tblPr>
      <w:tblGrid>
        <w:gridCol w:w="3539"/>
        <w:gridCol w:w="356"/>
        <w:gridCol w:w="147"/>
        <w:gridCol w:w="926"/>
        <w:gridCol w:w="155"/>
        <w:gridCol w:w="304"/>
        <w:gridCol w:w="242"/>
        <w:gridCol w:w="1568"/>
        <w:gridCol w:w="155"/>
        <w:gridCol w:w="304"/>
        <w:gridCol w:w="250"/>
        <w:gridCol w:w="1888"/>
        <w:gridCol w:w="64"/>
      </w:tblGrid>
      <w:tr>
        <w:trPr/>
        <w:tc>
          <w:tcPr>
            <w:tcW w:w="3539"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3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5939"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AS OF JUNE 30, 2026</w:t>
            </w:r>
          </w:p>
        </w:tc>
        <w:tc>
          <w:tcPr>
            <w:tcW w:w="64" w:type="dxa"/>
            <w:tcBorders/>
            <w:vAlign w:val="bottom"/>
          </w:tcPr>
          <w:p>
            <w:pPr>
              <w:pStyle w:val="TableContents"/>
              <w:bidi w:val="0"/>
              <w:spacing w:before="0" w:after="283"/>
              <w:jc w:val="left"/>
              <w:rPr/>
            </w:pPr>
            <w:r>
              <w:rPr/>
              <w:t> </w:t>
            </w:r>
          </w:p>
        </w:tc>
      </w:tr>
      <w:tr>
        <w:trPr/>
        <w:tc>
          <w:tcPr>
            <w:tcW w:w="3539" w:type="dxa"/>
            <w:tcBorders/>
            <w:vAlign w:val="bottom"/>
          </w:tcPr>
          <w:p>
            <w:pPr>
              <w:pStyle w:val="TableContents"/>
              <w:bidi w:val="0"/>
              <w:spacing w:before="0" w:after="283"/>
              <w:jc w:val="left"/>
              <w:rPr>
                <w:b/>
              </w:rPr>
            </w:pPr>
            <w:r>
              <w:rPr>
                <w:b/>
              </w:rPr>
              <w:t>(in thousands)</w:t>
            </w:r>
          </w:p>
        </w:tc>
        <w:tc>
          <w:tcPr>
            <w:tcW w:w="356" w:type="dxa"/>
            <w:tcBorders/>
            <w:vAlign w:val="bottom"/>
          </w:tcPr>
          <w:p>
            <w:pPr>
              <w:pStyle w:val="TableContents"/>
              <w:bidi w:val="0"/>
              <w:spacing w:before="0" w:after="283"/>
              <w:jc w:val="left"/>
              <w:rPr/>
            </w:pPr>
            <w:r>
              <w:rPr/>
              <w:t>  </w:t>
            </w:r>
          </w:p>
        </w:tc>
        <w:tc>
          <w:tcPr>
            <w:tcW w:w="10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8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 (1)</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13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w:t>
              <w:br/>
              <w:t>AS ADJUSTED (2)(3)</w:t>
            </w:r>
          </w:p>
        </w:tc>
        <w:tc>
          <w:tcPr>
            <w:tcW w:w="64" w:type="dxa"/>
            <w:tcBorders/>
            <w:vAlign w:val="bottom"/>
          </w:tcPr>
          <w:p>
            <w:pPr>
              <w:pStyle w:val="TableContents"/>
              <w:bidi w:val="0"/>
              <w:spacing w:before="0" w:after="283"/>
              <w:jc w:val="left"/>
              <w:rPr/>
            </w:pPr>
            <w:r>
              <w:rPr/>
              <w:t> </w:t>
            </w:r>
          </w:p>
        </w:tc>
      </w:tr>
      <w:tr>
        <w:trPr/>
        <w:tc>
          <w:tcPr>
            <w:tcW w:w="3539" w:type="dxa"/>
            <w:tcBorders/>
            <w:shd w:fill="CCEEFF" w:val="clear"/>
          </w:tcPr>
          <w:p>
            <w:pPr>
              <w:pStyle w:val="TableContents"/>
              <w:bidi w:val="0"/>
              <w:spacing w:before="0" w:after="0"/>
              <w:jc w:val="left"/>
              <w:rPr>
                <w:rFonts w:ascii="Arial" w:hAnsi="Arial"/>
                <w:b/>
                <w:sz w:val="19"/>
              </w:rPr>
            </w:pPr>
            <w:r>
              <w:rPr>
                <w:rFonts w:ascii="Arial" w:hAnsi="Arial"/>
                <w:b/>
                <w:sz w:val="19"/>
              </w:rPr>
              <w:t>Balance sheet data:</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88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Arial" w:hAnsi="Arial"/>
                <w:sz w:val="19"/>
              </w:rPr>
            </w:pPr>
            <w:r>
              <w:rPr>
                <w:rFonts w:ascii="Arial" w:hAnsi="Arial"/>
                <w:sz w:val="19"/>
              </w:rPr>
              <w:t>Cash, cash equivalents and marketable securities</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97,725</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568" w:type="dxa"/>
            <w:tcBorders/>
            <w:vAlign w:val="bottom"/>
          </w:tcPr>
          <w:p>
            <w:pPr>
              <w:pStyle w:val="TableContents"/>
              <w:bidi w:val="0"/>
              <w:spacing w:before="0" w:after="283"/>
              <w:jc w:val="right"/>
              <w:rPr/>
            </w:pPr>
            <w:r>
              <w:rPr/>
              <w:t>97,725</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88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539" w:type="dxa"/>
            <w:tcBorders/>
            <w:shd w:fill="CCEEFF" w:val="clear"/>
          </w:tcPr>
          <w:p>
            <w:pPr>
              <w:pStyle w:val="TableContents"/>
              <w:bidi w:val="0"/>
              <w:spacing w:before="0" w:after="0"/>
              <w:jc w:val="left"/>
              <w:rPr>
                <w:rFonts w:ascii="Arial" w:hAnsi="Arial"/>
                <w:sz w:val="19"/>
              </w:rPr>
            </w:pPr>
            <w:r>
              <w:rPr>
                <w:rFonts w:ascii="Arial" w:hAnsi="Arial"/>
                <w:sz w:val="19"/>
              </w:rPr>
              <w:t>Working capital (4)</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86,735</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86,735</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88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Arial" w:hAnsi="Arial"/>
                <w:sz w:val="19"/>
              </w:rPr>
            </w:pPr>
            <w:r>
              <w:rPr>
                <w:rFonts w:ascii="Arial" w:hAnsi="Arial"/>
                <w:sz w:val="19"/>
              </w:rPr>
              <w:t>Total assets</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106,498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106,498</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8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539" w:type="dxa"/>
            <w:tcBorders/>
            <w:shd w:fill="CCEEFF" w:val="clear"/>
          </w:tcPr>
          <w:p>
            <w:pPr>
              <w:pStyle w:val="TableContents"/>
              <w:bidi w:val="0"/>
              <w:spacing w:before="0" w:after="0"/>
              <w:jc w:val="left"/>
              <w:rPr>
                <w:rFonts w:ascii="Arial" w:hAnsi="Arial"/>
                <w:sz w:val="19"/>
              </w:rPr>
            </w:pPr>
            <w:r>
              <w:rPr>
                <w:rFonts w:ascii="Arial" w:hAnsi="Arial"/>
                <w:sz w:val="19"/>
              </w:rPr>
              <w:t>Total liabilities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14,782</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14,782</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88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Arial" w:hAnsi="Arial"/>
                <w:sz w:val="19"/>
              </w:rPr>
            </w:pPr>
            <w:r>
              <w:rPr>
                <w:rFonts w:ascii="Arial" w:hAnsi="Arial"/>
                <w:sz w:val="19"/>
              </w:rPr>
              <w:t>Redeemable convertible preferred stock</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311,171</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8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539"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88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left"/>
              <w:rPr>
                <w:rFonts w:ascii="Arial" w:hAnsi="Arial"/>
                <w:sz w:val="19"/>
              </w:rPr>
            </w:pPr>
            <w:r>
              <w:rPr>
                <w:rFonts w:ascii="Arial" w:hAnsi="Arial"/>
                <w:sz w:val="19"/>
              </w:rPr>
              <w:t>Total stockholders’ equity (deficit)</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(219,455</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91,716</w:t>
            </w:r>
          </w:p>
        </w:tc>
        <w:tc>
          <w:tcPr>
            <w:tcW w:w="15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8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283"/>
              <w:jc w:val="left"/>
              <w:rPr/>
            </w:pPr>
            <w:r>
              <w:rPr/>
              <w:t xml:space="preserve">Gives effect to the automatic conversion of all outstanding shares of redeemable convertible preferred stock into an aggregate of 59,114,361 shares of our common stock and the related reclassification of the redeemable convertible preferred stock to permanent equity in connection with the closing of this offering. </w:t>
            </w:r>
          </w:p>
        </w:tc>
      </w:tr>
    </w:tbl>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Gives effect to (i) the pro forma adjustments set forth in footnote (1) above and (ii) our sale of    shares of our common stock in this offering at an assumed initial public offering price of $    per share, which is the midpoint of the price range set forth on the cover page of this prospectus,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Pro forma as adjusted balance sheet data is illustrative only and will change based on the actual initial public offering price and other terms of this offering determined at pricing. Each $1.00 increase (decrease) in the assumed initial public offering price of $    per share, which is the midpoint of the price range set forth on the cover page of this prospectus, would increase (decrease) each of our pro forma as adjusted cash, cash equivalents and marketable securities, working capital, total assets and total stockholders’ equity by approximately $    million,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one million share increase (decrease) in the number of shares offered by us would increase (decrease) each of our pro forma as adjusted cash, cash equivalents and marketable securities, working capital, total assets and total stockholders’ equity by approximately $    million, assuming that the assumed initial offering price to the public remains the same, and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We define working capital as current assets less current liabilities. See our unaudited interim condensed financial statements and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4" w:name="toc61940_2"/>
      <w:bookmarkEnd w:id="4"/>
      <w:r>
        <w:rPr>
          <w:rFonts w:ascii="Arial" w:hAnsi="Arial"/>
          <w:b/>
          <w:sz w:val="20"/>
        </w:rPr>
        <w:t xml:space="preserve">RISK FACTORS </w:t>
      </w:r>
    </w:p>
    <w:p>
      <w:pPr>
        <w:pStyle w:val="TextBody"/>
        <w:bidi w:val="0"/>
        <w:spacing w:before="360" w:after="0"/>
        <w:jc w:val="left"/>
        <w:rPr>
          <w:rFonts w:ascii="Arial" w:hAnsi="Arial"/>
          <w:i/>
          <w:sz w:val="19"/>
        </w:rPr>
      </w:pPr>
      <w:r>
        <w:rPr>
          <w:rFonts w:ascii="Arial" w:hAnsi="Arial"/>
          <w:i/>
          <w:sz w:val="19"/>
        </w:rPr>
        <w:t xml:space="preserve">Investing in our common stock involves a high degree of risk. Before making your decision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financial statements and the related notes included elsewhere in this prospectus.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w:t>
      </w:r>
    </w:p>
    <w:p>
      <w:pPr>
        <w:pStyle w:val="TextBody"/>
        <w:bidi w:val="0"/>
        <w:spacing w:before="240" w:after="0"/>
        <w:jc w:val="left"/>
        <w:rPr>
          <w:rFonts w:ascii="Arial" w:hAnsi="Arial"/>
          <w:b/>
          <w:sz w:val="20"/>
        </w:rPr>
      </w:pPr>
      <w:r>
        <w:rPr>
          <w:rFonts w:ascii="Arial" w:hAnsi="Arial"/>
          <w:b/>
          <w:sz w:val="20"/>
        </w:rPr>
        <w:t xml:space="preserve">Risks Related to Our Limited Operating History, Financial Position and Need for Additional Capital </w:t>
      </w:r>
    </w:p>
    <w:p>
      <w:pPr>
        <w:pStyle w:val="TextBody"/>
        <w:bidi w:val="0"/>
        <w:spacing w:before="80" w:after="0"/>
        <w:jc w:val="left"/>
        <w:rPr>
          <w:rFonts w:ascii="Arial" w:hAnsi="Arial"/>
          <w:b/>
          <w:i/>
          <w:sz w:val="19"/>
        </w:rPr>
      </w:pPr>
      <w:r>
        <w:rPr>
          <w:rFonts w:ascii="Arial" w:hAnsi="Arial"/>
          <w:b/>
          <w:i/>
          <w:sz w:val="19"/>
        </w:rPr>
        <w:t xml:space="preserve">We have a limited operating history and have no products approved for commercial sale, which may make it difficult for investors to evaluate our business, likelihood of success, and viability. </w:t>
      </w:r>
    </w:p>
    <w:p>
      <w:pPr>
        <w:pStyle w:val="TextBody"/>
        <w:bidi w:val="0"/>
        <w:spacing w:before="40" w:after="0"/>
        <w:jc w:val="left"/>
        <w:rPr>
          <w:rFonts w:ascii="Arial" w:hAnsi="Arial"/>
          <w:sz w:val="19"/>
        </w:rPr>
      </w:pPr>
      <w:r>
        <w:rPr>
          <w:rFonts w:ascii="Arial" w:hAnsi="Arial"/>
          <w:sz w:val="19"/>
        </w:rPr>
        <w:t xml:space="preserve">We are a late clinical-stage biopharmaceutical company with a limited operating history. We were formed in 2018, have no products approved for commercial sale and have never generated any revenue. Drug development is a highly speculative undertaking and involves a substantial degree of risk. It entails substantial upfront capital expenditures and significant risk that any product candidate will fail to demonstrate adequate efficacy or an acceptable safety profile, gain regulatory approval or become commercially viable. Since our inception, we have devoted substantially all of our resources to organizing and staffing our company, business planning, identifying product candidates, establishing our intellectual property portfolio, conducting research and nonclinical studies, including Investigational New Drug Application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18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the issuance of convertible promissory notes. As of June 30, 2026, issuances and sales of our redeemable convertible preferred stock and convertible promissory notes have resulted in aggregate gross proceeds of $301.4 million. </w:t>
      </w:r>
    </w:p>
    <w:p>
      <w:pPr>
        <w:pStyle w:val="TextBody"/>
        <w:bidi w:val="0"/>
        <w:spacing w:before="180" w:after="0"/>
        <w:jc w:val="left"/>
        <w:rPr>
          <w:rFonts w:ascii="Arial" w:hAnsi="Arial"/>
          <w:sz w:val="19"/>
        </w:rPr>
      </w:pPr>
      <w:r>
        <w:rPr>
          <w:rFonts w:ascii="Arial" w:hAnsi="Arial"/>
          <w:sz w:val="19"/>
        </w:rPr>
        <w:t xml:space="preserve">We have not yet demonstrated an ability to successfully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 </w:t>
      </w:r>
    </w:p>
    <w:p>
      <w:pPr>
        <w:pStyle w:val="TextBody"/>
        <w:bidi w:val="0"/>
        <w:spacing w:before="180" w:after="0"/>
        <w:jc w:val="left"/>
        <w:rPr>
          <w:rFonts w:ascii="Arial" w:hAnsi="Arial"/>
          <w:sz w:val="19"/>
        </w:rPr>
      </w:pPr>
      <w:r>
        <w:rPr>
          <w:rFonts w:ascii="Arial" w:hAnsi="Arial"/>
          <w:sz w:val="19"/>
        </w:rPr>
        <w:t xml:space="preserve">In addition, we may encounter unforeseen expenses, difficulties, complications, delays, and other known and unknown factors and risks frequently experienced by clinical-stage biopharmaceutical companies developing targeted product candidates for immune-mediated diseases and cancer. We also may need to transition from a company with a research and development focus to a company capable of supporting commercial activities. We have not yet demonstrated an ability to successfully overcome such risks and difficulties, or to make such a transition. We may not be successful in such a transition. If we do not adequately address these risks and difficulties or successfully make such a transition, our business will suffer. </w:t>
      </w:r>
    </w:p>
    <w:p>
      <w:pPr>
        <w:pStyle w:val="TextBody"/>
        <w:bidi w:val="0"/>
        <w:spacing w:before="240" w:after="0"/>
        <w:jc w:val="left"/>
        <w:rPr>
          <w:rFonts w:ascii="Arial" w:hAnsi="Arial"/>
          <w:b/>
          <w:i/>
          <w:sz w:val="19"/>
        </w:rPr>
      </w:pPr>
      <w:r>
        <w:rPr>
          <w:rFonts w:ascii="Arial" w:hAnsi="Arial"/>
          <w:b/>
          <w:i/>
          <w:sz w:val="19"/>
        </w:rPr>
        <w:t xml:space="preserve">We have incurred significant operating losses since our inception and have not generated any revenue. We expect to incur significant losses for the foreseeable future and may never generate any revenue or become profitable, or if we achieve profitability, we may not be able to maintain it. </w:t>
      </w:r>
    </w:p>
    <w:p>
      <w:pPr>
        <w:pStyle w:val="TextBody"/>
        <w:bidi w:val="0"/>
        <w:spacing w:before="40" w:after="0"/>
        <w:jc w:val="left"/>
        <w:rPr>
          <w:rFonts w:ascii="Arial" w:hAnsi="Arial"/>
          <w:sz w:val="19"/>
        </w:rPr>
      </w:pPr>
      <w:r>
        <w:rPr>
          <w:rFonts w:ascii="Arial" w:hAnsi="Arial"/>
          <w:sz w:val="19"/>
        </w:rPr>
        <w:t xml:space="preserve">We have incurred significant operating losses in each reporting period since our inception, have not generated any revenue to date and have financed our operations principally through private placements of our redeemable convertible preferred stock and convertible promissory notes. For the years ended December 31, 2024 and 2025, we reported a net loss of $24.8 million and $62.0 million, respectively. For the six months ended June 30, 2025 and 2026, we reported a net loss of $25.4 million and $48.9 million, respectively. As of June 30, 2026, we had 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accumulated deficit of $221.9 million. There is no assurance that we will obtain financing from other sources, or that we will be able to obtain such financing on favorable terms, if at all. Substantially all of our losses have resulted from expenses incurred in connection with the research and development of ipsoprubart and ELA822, and from general and administrative costs associated with our operations. We expect to incur increasing levels of operating losses for the foreseeable future, particularly as we advance ipsoprubart and ELA822 through clinical development and otherwise advance our earlier-stage discovery programs. Our prior losses have had, and combined with expected future losses will continue to have, an adverse effect on our stockholders’ equity and working capital. We expect our research and development expenses to significantly increase in connection with our ongoing and planned nonclinical studies and clinical trials for ipsoprubart and ELA822, as applicable. In addition, our expenses could increase if we are required by the FDA, or any comparable foreign regulatory authority, to perform clinical trials in addition to those currently expected, or if there are any delays in completing our clinical trials or in the nonclinical or manufacturing-related activities associated with the development of our product candidates. Moreover, if we obtain regulatory approval for ipsoprubart and ELA822 or any future product candidates, we will incur significant sales, marketing, manufacturing and distribution expenses in connection with the commercialization of ipsoprubart and ELA822 or any other future product candidates. We may never succeed in these activities and, even if we do, we may never generate any revenue or revenue that is significant enough to achieve profitability. </w:t>
      </w:r>
    </w:p>
    <w:p>
      <w:pPr>
        <w:pStyle w:val="TextBody"/>
        <w:bidi w:val="0"/>
        <w:spacing w:before="180" w:after="0"/>
        <w:jc w:val="left"/>
        <w:rPr>
          <w:rFonts w:ascii="Arial" w:hAnsi="Arial"/>
          <w:sz w:val="19"/>
        </w:rPr>
      </w:pPr>
      <w:r>
        <w:rPr>
          <w:rFonts w:ascii="Arial" w:hAnsi="Arial"/>
          <w:sz w:val="19"/>
        </w:rPr>
        <w:t xml:space="preserve">As a result, we expect to continue to incur significant and increasing net losses for the foreseeable future. Because of the numerous risks and uncertainties associated with developing therapeutic products, we are unable to predict the extent of any future losses or when we will become profitable, if at all. To become and remain profitable, we must succeed in a range of challenging activities, including discovering, developing, completing clinical trials, obtaining regulatory approvals for, and eventually commercializing products that generate significant revenue. We are only in the preliminary stages of a few of these activities. </w:t>
      </w:r>
    </w:p>
    <w:p>
      <w:pPr>
        <w:pStyle w:val="TextBody"/>
        <w:bidi w:val="0"/>
        <w:spacing w:before="180" w:after="0"/>
        <w:jc w:val="left"/>
        <w:rPr>
          <w:rFonts w:ascii="Arial" w:hAnsi="Arial"/>
          <w:sz w:val="19"/>
        </w:rPr>
      </w:pPr>
      <w:r>
        <w:rPr>
          <w:rFonts w:ascii="Arial" w:hAnsi="Arial"/>
          <w:sz w:val="19"/>
        </w:rPr>
        <w:t xml:space="preserve">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on the results of any quarterly or annual periods as indications of future operating performance. If we fail to become and remain profitable, there may be an adverse effect on the value of our company which could impair our ability to raise capital, expand our business, maintain our research and development efforts, diversify our product candidate pipeline, achieve our strategic objectives or even continue our operations. A decline in the value of our company could also cause you to lose all or part of your investment. </w:t>
      </w:r>
    </w:p>
    <w:p>
      <w:pPr>
        <w:pStyle w:val="TextBody"/>
        <w:bidi w:val="0"/>
        <w:spacing w:before="240" w:after="0"/>
        <w:jc w:val="left"/>
        <w:rPr>
          <w:rFonts w:ascii="Arial" w:hAnsi="Arial"/>
          <w:b/>
          <w:i/>
          <w:sz w:val="19"/>
        </w:rPr>
      </w:pPr>
      <w:r>
        <w:rPr>
          <w:rFonts w:ascii="Arial" w:hAnsi="Arial"/>
          <w:b/>
          <w:i/>
          <w:sz w:val="19"/>
        </w:rPr>
        <w:t xml:space="preserve">Even if this offering is successful, 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 </w:t>
      </w:r>
    </w:p>
    <w:p>
      <w:pPr>
        <w:pStyle w:val="TextBody"/>
        <w:bidi w:val="0"/>
        <w:spacing w:before="40" w:after="0"/>
        <w:jc w:val="left"/>
        <w:rPr>
          <w:rFonts w:ascii="Arial" w:hAnsi="Arial"/>
          <w:sz w:val="19"/>
        </w:rPr>
      </w:pPr>
      <w:r>
        <w:rPr>
          <w:rFonts w:ascii="Arial" w:hAnsi="Arial"/>
          <w:sz w:val="19"/>
        </w:rPr>
        <w:t xml:space="preserve">Developing therapeutic products, including conducting nonclinical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ipsoprubart, and our other product candidate, ELA822, and otherwise advance our earlier-stage discovery programs through clinical development. We expect increased expenses as we continue our research and development, continue our ongoing clinical trials, initiate additional clinical trials, seek to expand our product pipeline and clinical applications, seek regulatory approval for our current and future product candidates, and invest in our organization. In addition, if we obtain regulatory approval for any of our product candidates, we expect to incur significant commercialization expenses related to product manufacturing, marketing, sales and distribution. Furthermore, upon the closing of this offering, we expect to incur additional costs associated with operating as a public company that we did not incur as a private company. Accordingly, we will need to obtain substantial additional funding in connection with our continuing operations. </w:t>
      </w:r>
    </w:p>
    <w:p>
      <w:pPr>
        <w:pStyle w:val="TextBody"/>
        <w:bidi w:val="0"/>
        <w:spacing w:before="180" w:after="0"/>
        <w:jc w:val="left"/>
        <w:rPr>
          <w:rFonts w:ascii="Arial" w:hAnsi="Arial"/>
          <w:sz w:val="19"/>
        </w:rPr>
      </w:pPr>
      <w:r>
        <w:rPr>
          <w:rFonts w:ascii="Arial" w:hAnsi="Arial"/>
          <w:sz w:val="19"/>
        </w:rPr>
        <w:t xml:space="preserve">We had $97.7 million in cash, cash equivalents and marketable securities as of June 30, 2026. Based on our current operating plan, we believe that the net proceeds from this offering, together with our existing cash, cash equivalents and marketable securities will be sufficient for us to fund our operations into    . We have based this estimate on assumptions that may prove to be wrong, and we could use our capital resources sooner than we currently expect. Changes beyond our control may occur that would cause us to use our available capital before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time, including changes in and progress of our drug development activities and changes in regulation. Our future capital requirements will be dependent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progress, timing and results of clinical trials and nonclinical studies for ipsoprubart and ELA822, respectively,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further development of our proprietary library of SIRP-targeted antibodies;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extent to which we develop, in-license, out-license or acquire any future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number and development requirements of any future product candidates that we may pursue, and other indications for our current product candidates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timing and outcome of obtaining regulatory approvals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scope and costs of making arrangements with third-party manufacturers, or establishing manufacturing capabilities, for both clinical and commercial supplies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involved in growing our organization to the size needed to allow for the research, development and potential commercialization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associated with commercializing any approved product candidates, including establishing sales, marketing, market access, and distribution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to the extent we pursue strategic collaborations, including collaborations to commercialize ipsoprubart, ELA822 or any of our future product candidates, our ability to establish and maintain collaborations on favorable terms, if at all, as well as the timing and amount of any milestone or royalty payments we are required to make or are eligible to receive under such collaborations or our current licenses and platform service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associated with completing any post-marketing studies or trials required by the FDA, or other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revenue, if any, received from commercial sales of ipsoprubart and ELA822 or any of our future product candidates, if any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costs associated with potential product liability claims, including the costs associated with obtaining insurance against such claims and with defending against such claims. </w:t>
            </w:r>
          </w:p>
        </w:tc>
      </w:tr>
    </w:tbl>
    <w:p>
      <w:pPr>
        <w:pStyle w:val="TextBody"/>
        <w:bidi w:val="0"/>
        <w:spacing w:before="180" w:after="0"/>
        <w:jc w:val="left"/>
        <w:rPr>
          <w:rFonts w:ascii="Arial" w:hAnsi="Arial"/>
          <w:sz w:val="19"/>
        </w:rPr>
      </w:pPr>
      <w:r>
        <w:rPr>
          <w:rFonts w:ascii="Arial" w:hAnsi="Arial"/>
          <w:sz w:val="19"/>
        </w:rPr>
        <w:t xml:space="preserve">Even if this offering is successful, we will require additional capital to complete our planned nonclinical studies and clinical trials for our current product candidates to obtain regulatory approval, and we anticipate needing to raise additional capital to complete the development of, and eventually commercialize, our product candidates, if approved. Adequate additional financing may not be available to us on favorable terms, or at all. Our ability to raise additional funds will be dependent on financial, economic and market conditions, geopolitical issues and other factors, over which we may have limited or no control. In addition, we may seek additional capital due to favorable market conditions or strategic considerations even if we believe we have sufficient funds for our current or future operating plans. If adequate funds are not available on commercially acceptable terms when needed, we may be forced to delay, reduce or terminate the development or commercialization, if approved, of all or part of our research programs or product candidates or we may be unable to take advantage of future business opportunities, including pursuing new in-licenses and acquisitions. Furthermore, any additional capital-raising efforts may divert our management from their day-to-day activities, which may adversely affect our ability to develop and commercialize our current and any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80" w:after="0"/>
        <w:jc w:val="left"/>
        <w:rPr>
          <w:rFonts w:ascii="Arial" w:hAnsi="Arial"/>
          <w:sz w:val="19"/>
        </w:rPr>
      </w:pPr>
      <w:r>
        <w:rPr>
          <w:rFonts w:ascii="Arial" w:hAnsi="Arial"/>
          <w:sz w:val="19"/>
        </w:rPr>
        <w:t xml:space="preserve">We will be required to obtain further funding through public or private equity financings, debt financings, collaboration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will be diluted, and the terms may include liquidation or other preferences that adversely affect each investor’s rights as a stockholder. Debt financing or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If we raise additional funds through upfront payments or milestone payments pursuant to strategic collaborations with third parties, we may have to relinquish valuable rights to our product candidates or grant licenses on terms that are not favorable to us. </w:t>
      </w:r>
    </w:p>
    <w:p>
      <w:pPr>
        <w:pStyle w:val="TextBody"/>
        <w:bidi w:val="0"/>
        <w:spacing w:before="180" w:after="0"/>
        <w:jc w:val="left"/>
        <w:rPr>
          <w:rFonts w:ascii="Arial" w:hAnsi="Arial"/>
          <w:sz w:val="19"/>
        </w:rPr>
      </w:pPr>
      <w:r>
        <w:rPr>
          <w:rFonts w:ascii="Arial" w:hAnsi="Arial"/>
          <w:sz w:val="19"/>
        </w:rPr>
        <w:t xml:space="preserve">Our failure to raise capital as and when needed or on acceptable terms could significantly harm our business, financial condition, results of operations, and prospects and cause the price of our common stock to decline, and we may have to delay, reduce the scope of, suspend, or eliminate one or more of our research or drug development programs, nonclinical studies, clinical trials, or future commercialization efforts. </w:t>
      </w:r>
    </w:p>
    <w:p>
      <w:pPr>
        <w:pStyle w:val="TextBody"/>
        <w:bidi w:val="0"/>
        <w:spacing w:before="240" w:after="0"/>
        <w:jc w:val="left"/>
        <w:rPr>
          <w:rFonts w:ascii="Arial" w:hAnsi="Arial"/>
          <w:b/>
          <w:i/>
          <w:sz w:val="19"/>
        </w:rPr>
      </w:pPr>
      <w:r>
        <w:rPr>
          <w:rFonts w:ascii="Arial" w:hAnsi="Arial"/>
          <w:b/>
          <w:i/>
          <w:sz w:val="19"/>
        </w:rPr>
        <w:t xml:space="preserve">The report of our independent registered public accounting firm included a “going concern” explanatory paragraph. </w:t>
      </w:r>
    </w:p>
    <w:p>
      <w:pPr>
        <w:pStyle w:val="TextBody"/>
        <w:bidi w:val="0"/>
        <w:spacing w:before="40" w:after="0"/>
        <w:jc w:val="left"/>
        <w:rPr>
          <w:rFonts w:ascii="Arial" w:hAnsi="Arial"/>
          <w:sz w:val="19"/>
        </w:rPr>
      </w:pPr>
      <w:r>
        <w:rPr>
          <w:rFonts w:ascii="Arial" w:hAnsi="Arial"/>
          <w:sz w:val="19"/>
        </w:rPr>
        <w:t xml:space="preserve">We have concluded that there is substantial doubt about our ability to continue as a going concern, and the report of our independent registered public accounting firm on our financial statements as of and for the year ended December 31, 2025 included an explanatory paragraph indicating that there was substantial doubt about our ability to continue as a going concern. 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financial statements. The inclusion of a going concern explanatory paragraph by our independent registered public accounting firm, our limited cash resources and our potential inability to continue as a going concern may materially adversely affect our ability to raise new capital, enter into licensing and collaboration arrangements or other contractual relationships with third parties and otherwise execute our development strategy. </w:t>
      </w:r>
    </w:p>
    <w:p>
      <w:pPr>
        <w:pStyle w:val="TextBody"/>
        <w:bidi w:val="0"/>
        <w:spacing w:before="240" w:after="0"/>
        <w:jc w:val="left"/>
        <w:rPr>
          <w:rFonts w:ascii="Arial" w:hAnsi="Arial"/>
          <w:b/>
          <w:sz w:val="20"/>
        </w:rPr>
      </w:pPr>
      <w:r>
        <w:rPr>
          <w:rFonts w:ascii="Arial" w:hAnsi="Arial"/>
          <w:b/>
          <w:sz w:val="20"/>
        </w:rPr>
        <w:t xml:space="preserve">Risks Related to Research, Discovery, Development, Regulatory Approval, and Commercialization of Our Product Candidates </w:t>
      </w:r>
    </w:p>
    <w:p>
      <w:pPr>
        <w:pStyle w:val="TextBody"/>
        <w:bidi w:val="0"/>
        <w:spacing w:before="240" w:after="0"/>
        <w:jc w:val="left"/>
        <w:rPr>
          <w:rFonts w:ascii="Arial" w:hAnsi="Arial"/>
          <w:b/>
          <w:i/>
          <w:sz w:val="19"/>
        </w:rPr>
      </w:pPr>
      <w:r>
        <w:rPr>
          <w:rFonts w:ascii="Arial" w:hAnsi="Arial"/>
          <w:b/>
          <w:i/>
          <w:sz w:val="19"/>
        </w:rPr>
        <w:t xml:space="preserve">We are substantially dependent on the success of our lead product candidate, ipsoprubart, and our other product candidate, ELA822. If we are unable to advance the development of, receive regulatory approval for, and ultimately successfully commercialize ipsoprubart or ELA822, or experience significant delays in doing so, our business will be materially harmed. </w:t>
      </w:r>
    </w:p>
    <w:p>
      <w:pPr>
        <w:pStyle w:val="TextBody"/>
        <w:bidi w:val="0"/>
        <w:spacing w:before="40" w:after="0"/>
        <w:jc w:val="left"/>
        <w:rPr>
          <w:rFonts w:ascii="Arial" w:hAnsi="Arial"/>
          <w:sz w:val="19"/>
        </w:rPr>
      </w:pPr>
      <w:r>
        <w:rPr>
          <w:rFonts w:ascii="Arial" w:hAnsi="Arial"/>
          <w:sz w:val="19"/>
        </w:rPr>
        <w:t xml:space="preserve">We have invested, and plan to continue to invest, a significant portion of our efforts and financial resources in the development of our lead product candidate, ipsoprubart. Our future success is highly dependent on our ability to timely complete successful clinical trials, obtain regulatory approval for, and then successfully commercialize ipsoprubart and our other product candidate, ELA822, which may never occur. We are currently conducting a Phase 2/3 registrational trial of ipsoprubart in sHLH, a Phase 1 clinical trial of ipsoprubart in T cell malignancies and expect to initiate a Phase 1 clinical trial for ELA822 in Europe as our clinical trial application (CTA) for ELA822 was approved in August 2026. Our other potential product candidates are also in earlier stages of development. We currently have no products that are approved for sale in any jurisdiction. We have invested substantially all of our efforts and financial resources in ipsoprubart and ELA822 and conducting nonclinical studies and clinical trials. There can be no assurance that ipsoprubart or ELA822 or any future product candidates we develop will achieve success in their nonclinical studies, clinical trials, or obtain regulatory approval. In the future, we may also become dependent on other product candidates that we may develop or acquire; however, given the stage of our development, approval for commercialization may require additional time and cannot be assured. </w:t>
      </w:r>
    </w:p>
    <w:p>
      <w:pPr>
        <w:pStyle w:val="TextBody"/>
        <w:bidi w:val="0"/>
        <w:spacing w:before="180" w:after="0"/>
        <w:jc w:val="left"/>
        <w:rPr>
          <w:rFonts w:ascii="Arial" w:hAnsi="Arial"/>
          <w:sz w:val="19"/>
        </w:rPr>
      </w:pPr>
      <w:r>
        <w:rPr>
          <w:rFonts w:ascii="Arial" w:hAnsi="Arial"/>
          <w:sz w:val="19"/>
        </w:rPr>
        <w:t xml:space="preserve">Our ability to generate product revenue, which may not occur for many years, if ever, will be heavily dependent on the successful development and eventual commercialization of our lead product candidate, ipsoprubart, our other product candidate, ELA822, and the development of additional product candidates. The success of ipsoprubart, ELA822 and any additional product candidates will be dependent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timely completion of nonclinical studies;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acceptance of, or allowance to proceed under, any INDs by the FDA, or under comparable CTAs by comparable foreign regulatory authorities for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timely and successful enrollment of patients in, and timely and successful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enroll adequate participants to allow the results to be generalizable to the U.S.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frequency and severity of adverse events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approval of Biologics License Applications (BLAs) by the FDA or similar foreign regulatory approvals, including the completion of any required post-marketing studies or trials and available funding to perform any post-marketing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raising additional funds necessary to complete clinical development of and commercialize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obtaining, maintaining, expanding and protecting our patent, trade secret and other intellectual property and any regulatory exclusivity for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making arrangements with third-party manufacturers, or establishing manufacturing capabilities, for both clinical and commercial supplies of our current and future product candidates and ensuring a resilient, effective supply chain that produces supply that outpaces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developing and implementing marketing and reimbursement strategies, and creating adequate demand forecasts for supply and sales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sales, marketing and distribution capabilities and launching commercial sales of our product candidates, if and when approved, whether alone or in collaboration with others in a market where promotional sales approaches are rapidly moving to digital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demonstration of safety, purity and potency (or efficacy), and acceptable risk-benefit profiles of our product candidates to the satisfaction of the FDA and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acceptance of our product candidates, if and when approved, by patients, the medical community and third-party payors underpinned by adequate health economic data and a meaningful value proposition;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effectively competing with existing and future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obtaining and maintaining third-party payor coverage and adequate reimbursement in both public and private payor spaces;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obtaining appropriate support from patient advocacy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addressing any delays in our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maintaining a continued acceptable safety profile of our product candidates following any approval. </w:t>
            </w:r>
          </w:p>
        </w:tc>
      </w:tr>
    </w:tbl>
    <w:p>
      <w:pPr>
        <w:pStyle w:val="TextBody"/>
        <w:bidi w:val="0"/>
        <w:spacing w:before="180" w:after="0"/>
        <w:jc w:val="left"/>
        <w:rPr>
          <w:rFonts w:ascii="Arial" w:hAnsi="Arial"/>
          <w:sz w:val="19"/>
        </w:rPr>
      </w:pPr>
      <w:r>
        <w:rPr>
          <w:rFonts w:ascii="Arial" w:hAnsi="Arial"/>
          <w:sz w:val="19"/>
        </w:rPr>
        <w:t xml:space="preserve">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ipsoprubart show unexpected adverse events or a lack of efficacy in the patient populations we intend to treat, do not meet the clinical endpoints or if we experience other regulatory or developmental issues. </w:t>
      </w:r>
    </w:p>
    <w:p>
      <w:pPr>
        <w:pStyle w:val="TextBody"/>
        <w:bidi w:val="0"/>
        <w:spacing w:before="240" w:after="0"/>
        <w:jc w:val="left"/>
        <w:rPr>
          <w:rFonts w:ascii="Arial" w:hAnsi="Arial"/>
          <w:b/>
          <w:i/>
          <w:sz w:val="19"/>
        </w:rPr>
      </w:pPr>
      <w:r>
        <w:rPr>
          <w:rFonts w:ascii="Arial" w:hAnsi="Arial"/>
          <w:b/>
          <w:i/>
          <w:sz w:val="19"/>
        </w:rPr>
        <w:t xml:space="preserve">There are currently no approved therapies for the treatment of sHLH broadly, and our research and development activities related to ipsoprubart for the treatment of sHLH broadly may never lead to an approved product. Our discovery and development programs are focused on SIRP-targeted precision immune cell depletion for patients with immune-mediated diseases and cancer, and the scientific discoveries that form the basis for our efforts to discover and develop product candidates are relatively new. </w:t>
      </w:r>
    </w:p>
    <w:p>
      <w:pPr>
        <w:pStyle w:val="TextBody"/>
        <w:bidi w:val="0"/>
        <w:spacing w:before="40" w:after="0"/>
        <w:jc w:val="left"/>
        <w:rPr>
          <w:rFonts w:ascii="Arial" w:hAnsi="Arial"/>
          <w:sz w:val="19"/>
        </w:rPr>
      </w:pPr>
      <w:r>
        <w:rPr>
          <w:rFonts w:ascii="Arial" w:hAnsi="Arial"/>
          <w:sz w:val="19"/>
        </w:rPr>
        <w:t xml:space="preserve">We are evaluating ipsoprubart to treat sHLH broadly. There are currently no approved therapies for the treatment of sHLH broadly. Our SIRP-targeted precision immune cell depletion approach is novel and scientifically uncertain, and our research and development activities may never lead to approved or marketable products. The discovery and development of precision medicines for patients with immune-mediated diseases and cancer is an emerging field, and the scientific discoveries that form the basis for our efforts to discover and develop product candidates are relatively new. The scientific evidence to support the feasibility of developing product candidates based on these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discoveries is both preliminary and limited. Although we believe, based on our nonclinical work and early clinical trial results, that the depletion of SIRP-expressing immune cells by antibodies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will enable selective depletion of disease-driving cells while preserving normal immune function, future clinical results may not confirm this hypothesis or may only confirm it for certain SIRP-expressing immune cells or in certain immune-mediated diseases and cancer. </w:t>
      </w:r>
    </w:p>
    <w:p>
      <w:pPr>
        <w:pStyle w:val="TextBody"/>
        <w:bidi w:val="0"/>
        <w:spacing w:before="180" w:after="0"/>
        <w:jc w:val="left"/>
        <w:rPr>
          <w:rFonts w:ascii="Arial" w:hAnsi="Arial"/>
          <w:sz w:val="19"/>
        </w:rPr>
      </w:pPr>
      <w:r>
        <w:rPr>
          <w:rFonts w:ascii="Arial" w:hAnsi="Arial"/>
          <w:sz w:val="19"/>
        </w:rPr>
        <w:t xml:space="preserve">We cannot be certain that our approach will lead to the development of an approvable or marketable product. We may not succeed in demonstrating safety and efficacy of ipsoprubart for the treatment of sHLH broadly in our ongoing or anticipated clinical trials or in larger-scale clinical trials. Advancing ipsoprubart in development creates significant challenges for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obtaining regulatory approval, as the FDA and other comparable foreign regulatory authorities have yet to approve a therapy for the treatment of sHLH broadly;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ipsoprubart is approved, educating medical personnel regarding the potential efficacy and safety benefit, as well as the challenges, of incorporating our product into their clinical practice;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establishing the sales and marketing capabilities upon obtaining any regulatory approvals to gain market acceptance. </w:t>
            </w:r>
          </w:p>
        </w:tc>
      </w:tr>
    </w:tbl>
    <w:p>
      <w:pPr>
        <w:pStyle w:val="TextBody"/>
        <w:bidi w:val="0"/>
        <w:spacing w:before="180" w:after="0"/>
        <w:jc w:val="left"/>
        <w:rPr>
          <w:rFonts w:ascii="Arial" w:hAnsi="Arial"/>
          <w:sz w:val="19"/>
        </w:rPr>
      </w:pPr>
      <w:r>
        <w:rPr>
          <w:rFonts w:ascii="Arial" w:hAnsi="Arial"/>
          <w:sz w:val="19"/>
        </w:rPr>
        <w:t xml:space="preserve">Our scientific approach to target cell surface receptors whose expression is restricted to specific immune cell populations and increases upon activation to selectively deplete disease-driving cells while preserving normal immune function may not be successful in addressing the limitations of broad immunosuppression or creating product candidates that ultimately succeed in development, regulatory approval or commercialization. We may also be unsuccessful in using our approach to identify additional product candidates, and any of our product candidates may be shown to have harmful side effects or other characteristics that necessitate additional clinical testing or make them unmarketable or unlikely to receive or maintain regulatory approval. In particular, any failure of one of our development programs (or a competitor’s product or program pursuing a similar approach) could create a perception that our other programs are less likely to succeed or that our overall approach is not viable. </w:t>
      </w:r>
    </w:p>
    <w:p>
      <w:pPr>
        <w:pStyle w:val="TextBody"/>
        <w:bidi w:val="0"/>
        <w:spacing w:before="180" w:after="0"/>
        <w:jc w:val="left"/>
        <w:rPr>
          <w:rFonts w:ascii="Arial" w:hAnsi="Arial"/>
          <w:sz w:val="19"/>
        </w:rPr>
      </w:pPr>
      <w:r>
        <w:rPr>
          <w:rFonts w:ascii="Arial" w:hAnsi="Arial"/>
          <w:sz w:val="19"/>
        </w:rPr>
        <w:t xml:space="preserve">We believe we have had favorable nonclinical study and early clinical trial results; however, we are early in our development efforts, including with respect to ipsoprubart and ELA822, and may not succeed in demonstrating the efficacy and safety of any product candidate in clinical trials or in obtaining regulatory approval thereafter. We also cannot be certain that our scientific and development approach, including with respect to ipsoprubart and ELA822, will result in an approvable or marketable product with commercial value in our initial targeted indications or any other indication. </w:t>
      </w:r>
    </w:p>
    <w:p>
      <w:pPr>
        <w:pStyle w:val="TextBody"/>
        <w:bidi w:val="0"/>
        <w:spacing w:before="180" w:after="0"/>
        <w:jc w:val="left"/>
        <w:rPr>
          <w:rFonts w:ascii="Arial" w:hAnsi="Arial"/>
          <w:sz w:val="19"/>
        </w:rPr>
      </w:pPr>
      <w:r>
        <w:rPr>
          <w:rFonts w:ascii="Arial" w:hAnsi="Arial"/>
          <w:sz w:val="19"/>
        </w:rPr>
        <w:t xml:space="preserve">Further, the pharmaceutical industry is characterized by rapidly advancing technologies, and our future success will depend in part on our ability to maintain a competitive position. If we fail to stay at the forefront of technological change, we may be unable to compete effectively. Our competitors may render our approach obsolete or limit the commercial value of our scientific approach or product candidates through advances in existing technologies or the development of new or different approaches. Conversely, adverse developments with respect to other companies pursuing a similar approach may adversely impact the actual or perceived value of our approach and the potential of our product candidates. </w:t>
      </w:r>
    </w:p>
    <w:p>
      <w:pPr>
        <w:pStyle w:val="TextBody"/>
        <w:bidi w:val="0"/>
        <w:spacing w:before="180" w:after="0"/>
        <w:jc w:val="left"/>
        <w:rPr>
          <w:rFonts w:ascii="Arial" w:hAnsi="Arial"/>
          <w:sz w:val="19"/>
        </w:rPr>
      </w:pPr>
      <w:r>
        <w:rPr>
          <w:rFonts w:ascii="Arial" w:hAnsi="Arial"/>
          <w:sz w:val="19"/>
        </w:rPr>
        <w:t xml:space="preserve">Therefore, we do not know whether our approach, including development of product candidates in immune-mediated diseases and cancer, will be successful, or whether our specific development programs for ipsoprubart and ELA822 will yield approvable or commercially viable products. If our approach or our individual programs are unsuccessful, the value of our company could decline significantly. </w:t>
      </w:r>
    </w:p>
    <w:p>
      <w:pPr>
        <w:pStyle w:val="TextBody"/>
        <w:bidi w:val="0"/>
        <w:spacing w:before="240" w:after="0"/>
        <w:jc w:val="left"/>
        <w:rPr>
          <w:rFonts w:ascii="Arial" w:hAnsi="Arial"/>
          <w:b/>
          <w:i/>
          <w:sz w:val="19"/>
        </w:rPr>
      </w:pPr>
      <w:r>
        <w:rPr>
          <w:rFonts w:ascii="Arial" w:hAnsi="Arial"/>
          <w:b/>
          <w:i/>
          <w:sz w:val="19"/>
        </w:rPr>
        <w:t xml:space="preserve">Drug development is a lengthy and expensive process, the outcome of clinical testing is inherently uncertain, and results of earlier nonclinical studies and clinical trials may not be predictive of future clinical trial results. We may incur additional costs or experience delays in completing, or ultimately be unable to complete, the development and commercialization of ipsoprubart, ELA822 and any future product candidates for many reasons, including a failure to replicate positive results from earlier nonclinical studies or clinical trials in ongoing or future nonclinical studies or clinical trials. </w:t>
      </w:r>
    </w:p>
    <w:p>
      <w:pPr>
        <w:pStyle w:val="TextBody"/>
        <w:bidi w:val="0"/>
        <w:spacing w:before="40" w:after="0"/>
        <w:jc w:val="left"/>
        <w:rPr>
          <w:rFonts w:ascii="Arial" w:hAnsi="Arial"/>
          <w:sz w:val="19"/>
        </w:rPr>
      </w:pPr>
      <w:r>
        <w:rPr>
          <w:rFonts w:ascii="Arial" w:hAnsi="Arial"/>
          <w:sz w:val="19"/>
        </w:rPr>
        <w:t xml:space="preserve">Before obtaining approval from regulatory authorities for the commercialization of any of our product candidates, we must conduct extensive clinical trials to demonstrate the safety, purity, potency, or efficacy of the product candidate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humans. Before we can initiate clinical trials for any product candidates, we must submit the results of nonclinical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nonclinical studies for any product candidate before it allows us to initiate clinical trials under any IND or similar regulatory submission, which may lead to delays and increase the costs of our nonclinical development programs. For example, while we have an approved CTA for ELA822 in the EU such that we can initiate a Phase 1 clinical trial, we plan to submit an IND to the FDA for ELA822 in the United States, and the FDA may require additional data before allowing us to proceed. </w:t>
      </w:r>
    </w:p>
    <w:p>
      <w:pPr>
        <w:pStyle w:val="TextBody"/>
        <w:bidi w:val="0"/>
        <w:spacing w:before="180" w:after="0"/>
        <w:jc w:val="left"/>
        <w:rPr>
          <w:rFonts w:ascii="Arial" w:hAnsi="Arial"/>
          <w:sz w:val="19"/>
        </w:rPr>
      </w:pPr>
      <w:r>
        <w:rPr>
          <w:rFonts w:ascii="Arial" w:hAnsi="Arial"/>
          <w:sz w:val="19"/>
        </w:rPr>
        <w:t xml:space="preserve">The risk of failure is high for nonclinical and clinical-stage product candidates. It is impossible to predict when or if ipsoprubart, ELA822 or any future product candidates will receive regulatory approval. To obtain the requisite regulatory approvals to commercialize any product candidate, we must demonstrate through extensive nonclinical studies and lengthy, complex and expensive clinical trials that our product candidates are safe, pure, potent and effective for its claimed indication, which includes clinical effectiveness, in humans. Clinical testing can take many years to complete, and its outcome is inherently uncertain. Failure can occur at any time during the clinical trial process. The results of clinical trials and nonclinical studies of ipsoprubart and ELA822, or any future product candidates may not be predictive of the results of later-stage clinical trials. Interim, topline or preliminary results of a clinical trial are not necessarily indicative of final results. In particular, our ongoing SURPASS Phase 2/3 registrational trial, which is evaluating ipsoprubart in adult and pediatric patients diagnosed with treatment-naïve sHLH, is based primarily on data from 12 frontline mHLH patients enrolled in our Phase 1b trial. The sHLH patient population is heterogeneous, encompassing multiple disease subtypes and underlying triggers, and results observed in a small, single-arm Phase 1b trial may not be reproducible in a larger, more diverse registrational trial, including in pediatric patients, as the Phase 1b trial enrolled adults only. If SURPASS fails to demonstrate substantial evidence of efficacy and sufficient tolerability to satisfy the FDA and other regulators, we may be unable to obtain regulatory approval for ipsoprubart, which would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may be unable to establish benefit on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regulatory approval of their products. A number of companies in the biopharmaceutical industry have suffered significant setbacks in advanced clinical trials due to lack of efficacy or to unfavorable safety profiles, notwithstanding promising results in earlier trials. There is typically a high rate of failure of product candidates proceeding through clinical trials, particularly in the earlier stages of development. Most product candidates that commence clinical trials are never approved as products and there can be no assurance that any of our future clinical trials will ultimately be successful or support regulatory approval of ipsoprubart, ELA822 or any future product candidates. </w:t>
      </w:r>
    </w:p>
    <w:p>
      <w:pPr>
        <w:pStyle w:val="TextBody"/>
        <w:bidi w:val="0"/>
        <w:spacing w:before="180" w:after="0"/>
        <w:jc w:val="left"/>
        <w:rPr>
          <w:rFonts w:ascii="Arial" w:hAnsi="Arial"/>
          <w:sz w:val="19"/>
        </w:rPr>
      </w:pPr>
      <w:r>
        <w:rPr>
          <w:rFonts w:ascii="Arial" w:hAnsi="Arial"/>
          <w:sz w:val="19"/>
        </w:rPr>
        <w:t xml:space="preserve">Additionally, our ongoing Phase 2/3 registrational trial of ipsoprubart in sHLH and Phase 1 clinical trial of ipsoprubart in T cell malignancies, and some of our planned clinical trials utilize, or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SURPASS Phase 2/3 registrational trial for ipsoprubart in sHLH is designed as a single-arm, open-label trial that relies on COMPASS, a retrospective natural history study, to provide the external control comparator rather than a concurrent randomized control group. This design is subject to significant regulatory risk. The FDA or the EMA may disagree with the propensity score weighting methodology used to adjust for differences in baseline characteristics between the SURPASS and COMPASS populations, the adequacy of the COMPASS patient population as a comparator, or the sufficiency of the 8-week OS primary endpoint. Even if SURPASS achieves its primary endpoint in the lyphoma-associated HLH (LA-HLH) population, the FDA or EMA may not accept the data as sufficient to support approval of ipsoprubart for sHLH broadly, and any approval we receive could be limited to a narrower patient population, which could significantly limit the commercial opportunity for ipsoprubart. Retrospective chart review data underlying COMPASS may be of lower quality, completeness, or consistency than prospectively collected data, and the propensity score adjustment may not fully account for all relevant differences in baseline characteristics between the ipsoprubart-treated and external control populations. While we believe we have aligned with the FDA on this approach at the design stage and have engaged with the EMA regarding our development plans, any such alignment or engagement does not guarantee that these agencies will accept the resulting data, even if we believe the results are positive, as sufficient to support regulatory approval. For example, the FDA or EMA may determine that the COMPASS data are insufficient in quality, completeness, or comparability to the SURPASS population, or may require additional data or a randomized controlled trial. If the FDA or EMA does not accept our trial designs or the resulting data as sufficient to support regulatory approval, we may be required to conduct additional or redesigned clinical trials, which would significantly delay and increase the cost of our development program and could prevent approval of ipsoprubart. </w:t>
      </w:r>
    </w:p>
    <w:p>
      <w:pPr>
        <w:pStyle w:val="TextBody"/>
        <w:bidi w:val="0"/>
        <w:spacing w:before="180" w:after="0"/>
        <w:jc w:val="left"/>
        <w:rPr>
          <w:rFonts w:ascii="Arial" w:hAnsi="Arial"/>
          <w:sz w:val="19"/>
        </w:rPr>
      </w:pPr>
      <w:r>
        <w:rPr>
          <w:rFonts w:ascii="Arial" w:hAnsi="Arial"/>
          <w:sz w:val="19"/>
        </w:rPr>
        <w:t xml:space="preserve">We do not know whether any of our nonclinical studies or clinical trials will begin as planned, need to be restructured or be completed on schedule, if at all. We may experience delays in initiating or completing clinical trials. We also may experience numerous unforeseen events during, or as a result of, any future clinical trials that we could conduct that could delay or prevent our ability to receive regulatory approval or commercialize ipsoprubart, ELA822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be unable to generate sufficient nonclinical, toxicology, or other </w:t>
            </w:r>
            <w:r>
              <w:rPr>
                <w:rFonts w:ascii="Arial" w:hAnsi="Arial"/>
                <w:i/>
                <w:sz w:val="19"/>
              </w:rPr>
              <w:t>in vivo</w:t>
            </w:r>
            <w:r>
              <w:rPr>
                <w:rFonts w:ascii="Arial" w:hAnsi="Arial"/>
                <w:sz w:val="19"/>
              </w:rPr>
              <w:t xml:space="preserve"> or </w:t>
            </w:r>
            <w:r>
              <w:rPr>
                <w:rFonts w:ascii="Arial" w:hAnsi="Arial"/>
                <w:i/>
                <w:sz w:val="19"/>
              </w:rPr>
              <w:t>in vitro</w:t>
            </w:r>
            <w:r>
              <w:rPr>
                <w:rFonts w:ascii="Arial" w:hAnsi="Arial"/>
                <w:sz w:val="19"/>
              </w:rPr>
              <w:t xml:space="preserve">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FDA or comparable foreign regulatory authorities may disagree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experience 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institutional review boards (IRBs) or ethics committees may not authorize or allow us or our investigators to commence a clinical trial or conduct a clinical trial at a prospective trial site, or may halt or suspend an ongoing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clinical trial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clinical trials of any product candidates may fail to show safety or efficacy, produce negative or inconclusive results and we may decide, or regulatory authorities may require us, to conduct additional nonclinical studies or clinical trials or we may decide to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participants required for clinical trials of any product candidates may be larger than we anticipate, enrollment in these clinical trials may be slower than we anticipate or participants may drop out of these clinical trials or fail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elect, or regulatory authorities, IRBs, or ethics committees may require, that we or our investigators, suspend or terminate clinical research or trials for various reasons, including noncompliance with regulatory requirements or a finding that the patients in our trials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cost of clinical trials for ipsoprubart, ELA822 or any future product candidates may be greater than we anticipate, and we may not have sufficient funds to complete such trials;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quality of ipsoprubart, ELA822 or any future product candidates or other materials necessary to conduct clinical trials of ipsoprubart, ELA822 or any future product candidates may be inadequate to initiate or complete a given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inability to manufacture sufficient quantities of ipsoprubart, ELA822 or any future product candidates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inability to meet drug specifications suitable for use in clinical trials and commercial applications, including the development and validation of a potency assay to ensure that the characteristics of the product released are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reports from clinical testing of other therapies may raise safety or efficacy concerns about ipsoprubart, ELA822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receipt of feedback from regulatory authorities that requires us to modify the design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failure to establish an appropriate safety profile for a product candidate based on clinical or nonclinical data for such product candidate as well as data emerging from other therapies in the same class as ipsoprubart, ELA822 or any future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FDA or other comparable foreign regulatory authorities may require us to submit additional data such as long-term toxicology studies or impose other requirements before permitting us to initiate a clinical trial. </w:t>
            </w:r>
          </w:p>
        </w:tc>
      </w:tr>
    </w:tbl>
    <w:p>
      <w:pPr>
        <w:pStyle w:val="TextBody"/>
        <w:bidi w:val="0"/>
        <w:spacing w:before="180" w:after="0"/>
        <w:jc w:val="left"/>
        <w:rPr>
          <w:rFonts w:ascii="Arial" w:hAnsi="Arial"/>
          <w:sz w:val="19"/>
        </w:rPr>
      </w:pPr>
      <w:r>
        <w:rPr>
          <w:rFonts w:ascii="Arial" w:hAnsi="Arial"/>
          <w:sz w:val="19"/>
        </w:rPr>
        <w:t xml:space="preserve">We could also encounter delays if a clinical trial is suspended or terminated by us, the IRBs or ethics committees overseeing the institutions in which such trials are being conducted, or the FDA or other comparable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including the FDA’s Good Clinical Practice (GCP) regulations, or our clinical protocols, inspection of the clinical trial operations or trial site by the FDA or other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ipsoprubart, ELA822 or any future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80" w:after="0"/>
        <w:jc w:val="left"/>
        <w:rPr>
          <w:rFonts w:ascii="Arial" w:hAnsi="Arial"/>
          <w:sz w:val="19"/>
        </w:rPr>
      </w:pPr>
      <w:r>
        <w:rPr>
          <w:rFonts w:ascii="Arial" w:hAnsi="Arial"/>
          <w:sz w:val="19"/>
        </w:rPr>
        <w:t xml:space="preserve">We cannot predict with any certainty the schedule for commencement and completion of future clinical trials. Further, conducting clinical trials in foreign countries, as we have done and may do in the future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180" w:after="0"/>
        <w:jc w:val="left"/>
        <w:rPr>
          <w:rFonts w:ascii="Arial" w:hAnsi="Arial"/>
          <w:sz w:val="19"/>
        </w:rPr>
      </w:pPr>
      <w:r>
        <w:rPr>
          <w:rFonts w:ascii="Arial" w:hAnsi="Arial"/>
          <w:sz w:val="19"/>
        </w:rPr>
        <w:t xml:space="preserve">If we are required to conduct additional clinical trials or other testing of our current or future product candidates beyond those that we currently contemplate, if we are unable to successfully complete clinical trials of our current or future product candidates or other testing in a timely manner, if the results of these trials or tests are not positive or are only modestly positive or if there are safety concerns, we may incur unplanned costs, be delayed in seeking and obtaining regulatory approval, if we receive such approval at all, receive more limited or restrictive regulatory approval, be subject to additional post-marketing testing requirements or have the product removed from the market after obtaining regulatory approval. </w:t>
      </w:r>
    </w:p>
    <w:p>
      <w:pPr>
        <w:pStyle w:val="TextBody"/>
        <w:bidi w:val="0"/>
        <w:spacing w:before="180" w:after="0"/>
        <w:jc w:val="left"/>
        <w:rPr>
          <w:rFonts w:ascii="Arial" w:hAnsi="Arial"/>
          <w:sz w:val="19"/>
        </w:rPr>
      </w:pPr>
      <w:r>
        <w:rPr>
          <w:rFonts w:ascii="Arial" w:hAnsi="Arial"/>
          <w:sz w:val="19"/>
        </w:rPr>
        <w:t xml:space="preserve">Additionally, if the results of our clinical trials are inconclusive or if there are safety concerns or serious adverse events associated with our product candidates,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be delayed in obtaining regulatory approval,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obtain approval for indications or patient populations that are not as broad as intended or desired or may have restricted duration expectations or guidance;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be required to perform additional clinical trials to support approval or be subject to additional post-marketing testing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have regulatory authorities withdraw, vary or suspend their approval of the product or impose restrictions on its distribution in the form of a Risk Evaluation and Mitigation Strategy (REMS) or comparable foreign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be subject to the addition of labeling statements, such as warnings or contraindications;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be 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experience damage to our reputation. </w:t>
            </w:r>
          </w:p>
        </w:tc>
      </w:tr>
    </w:tbl>
    <w:p>
      <w:pPr>
        <w:pStyle w:val="TextBody"/>
        <w:bidi w:val="0"/>
        <w:spacing w:before="180" w:after="0"/>
        <w:jc w:val="left"/>
        <w:rPr>
          <w:rFonts w:ascii="Arial" w:hAnsi="Arial"/>
          <w:sz w:val="19"/>
        </w:rPr>
      </w:pPr>
      <w:r>
        <w:rPr>
          <w:rFonts w:ascii="Arial" w:hAnsi="Arial"/>
          <w:sz w:val="19"/>
        </w:rPr>
        <w:t xml:space="preserve">Our drug development costs will also increase if we experience delays in testing or obtaining regulatory approvals. Also, delays in obtaining regulatory approval may increase commercialization costs if the competitive environment becomes more intense prior to market entry. </w:t>
      </w:r>
    </w:p>
    <w:p>
      <w:pPr>
        <w:pStyle w:val="TextBody"/>
        <w:bidi w:val="0"/>
        <w:spacing w:before="180" w:after="0"/>
        <w:jc w:val="left"/>
        <w:rPr>
          <w:rFonts w:ascii="Arial" w:hAnsi="Arial"/>
          <w:sz w:val="19"/>
        </w:rPr>
      </w:pPr>
      <w:r>
        <w:rPr>
          <w:rFonts w:ascii="Arial" w:hAnsi="Arial"/>
          <w:sz w:val="19"/>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 </w:t>
      </w:r>
    </w:p>
    <w:p>
      <w:pPr>
        <w:pStyle w:val="TextBody"/>
        <w:bidi w:val="0"/>
        <w:spacing w:before="180" w:after="0"/>
        <w:jc w:val="left"/>
        <w:rPr>
          <w:rFonts w:ascii="Arial" w:hAnsi="Arial"/>
          <w:sz w:val="19"/>
        </w:rPr>
      </w:pPr>
      <w:r>
        <w:rPr>
          <w:rFonts w:ascii="Arial" w:hAnsi="Arial"/>
          <w:sz w:val="19"/>
        </w:rPr>
        <w:t xml:space="preserve">Furthermore, we may make formulation or manufacturing changes to our product candidates, in which case we may need to conduct additional nonclinical studies to bridge our modified product candidates to earlier versions. If we experience delays in the commencement or completion of our clinical trials, or if we terminate a clinical trial prior to completion, the commercial prospects of our current or any future product candidates could be negatively impacted, and our ability to generate revenues from our current or future product candidates may be delayed or eliminated entirely. </w:t>
      </w:r>
    </w:p>
    <w:p>
      <w:pPr>
        <w:pStyle w:val="TextBody"/>
        <w:bidi w:val="0"/>
        <w:spacing w:before="180" w:after="0"/>
        <w:jc w:val="left"/>
        <w:rPr>
          <w:rFonts w:ascii="Arial" w:hAnsi="Arial"/>
          <w:sz w:val="19"/>
        </w:rPr>
      </w:pPr>
      <w:r>
        <w:rPr>
          <w:rFonts w:ascii="Arial" w:hAnsi="Arial"/>
          <w:sz w:val="19"/>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 plans. </w:t>
      </w:r>
    </w:p>
    <w:p>
      <w:pPr>
        <w:pStyle w:val="TextBody"/>
        <w:bidi w:val="0"/>
        <w:spacing w:before="240" w:after="0"/>
        <w:jc w:val="left"/>
        <w:rPr>
          <w:rFonts w:ascii="Arial" w:hAnsi="Arial"/>
          <w:b/>
          <w:i/>
          <w:sz w:val="19"/>
        </w:rPr>
      </w:pPr>
      <w:r>
        <w:rPr>
          <w:rFonts w:ascii="Arial" w:hAnsi="Arial"/>
          <w:b/>
          <w:i/>
          <w:sz w:val="19"/>
        </w:rPr>
        <w:t xml:space="preserve">If we experience delays or difficulties in the enrollment of patients in clinical trials, our receipt of necessary regulatory approvals could be delayed or prevented. </w:t>
      </w:r>
    </w:p>
    <w:p>
      <w:pPr>
        <w:pStyle w:val="TextBody"/>
        <w:bidi w:val="0"/>
        <w:spacing w:before="40" w:after="0"/>
        <w:jc w:val="left"/>
        <w:rPr>
          <w:rFonts w:ascii="Arial" w:hAnsi="Arial"/>
          <w:sz w:val="19"/>
        </w:rPr>
      </w:pPr>
      <w:r>
        <w:rPr>
          <w:rFonts w:ascii="Arial" w:hAnsi="Arial"/>
          <w:sz w:val="19"/>
        </w:rPr>
        <w:t xml:space="preserve">Patient enrollment is a significant factor in the timing and success of clinical trials, and the timing of our clinical trials depends, in part, on the speed at which we can recruit and enroll patients to participate in our trials, as well as their completion of required follow-up periods. </w:t>
      </w:r>
    </w:p>
    <w:p>
      <w:pPr>
        <w:pStyle w:val="TextBody"/>
        <w:bidi w:val="0"/>
        <w:spacing w:before="180" w:after="0"/>
        <w:jc w:val="left"/>
        <w:rPr>
          <w:rFonts w:ascii="Arial" w:hAnsi="Arial"/>
          <w:sz w:val="19"/>
        </w:rPr>
      </w:pPr>
      <w:r>
        <w:rPr>
          <w:rFonts w:ascii="Arial" w:hAnsi="Arial"/>
          <w:sz w:val="19"/>
        </w:rPr>
        <w:t xml:space="preserve">We may not be able to initiate or continue our ongoing or planned clinical trials for our current or future product candidates if we are unable to identify and enroll a sufficient number of eligible patients to participate in these trials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 required by the FDA or comparable foreign regulatory authorities. We cannot be certain how many patients will meet our criteria for inclusion in our clinical trials, or that the number of patients enrolled in each program will suffice to support an application for regulatory approval in the indications we are targeting. If our strategies for patient identification and enrollment prove unsuccessful, we may have difficulty enrolling or maintaining patients appropriate for our product candidates. Patient enrollment is also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recruit clinical trial investigators of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incidence and prevalence of our target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clinicians’ and patients’ awareness of, and perceptions as to, the potential advantages and risks of our product candidates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availability, expertise, dedication and selection of CROs, to manage operations related to clinical trial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competing studies or trials with similar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invasive procedures required to enroll patients and to obtain evidence of the product candidate’s performance during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availability and efficacy of approved medications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eligibility criteria defined in the protocol for the trial in question;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size and nature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are subject to a partial or full clinical hold on any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reluctance of physicians or patient advocacy organizations to encourage patient participation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obtain and maintain patient consents;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proximity and availability of clinical trial sites for prospective patients. </w:t>
            </w:r>
          </w:p>
        </w:tc>
      </w:tr>
    </w:tbl>
    <w:p>
      <w:pPr>
        <w:pStyle w:val="TextBody"/>
        <w:bidi w:val="0"/>
        <w:spacing w:before="180" w:after="0"/>
        <w:jc w:val="left"/>
        <w:rPr>
          <w:rFonts w:ascii="Arial" w:hAnsi="Arial"/>
          <w:sz w:val="19"/>
        </w:rPr>
      </w:pPr>
      <w:r>
        <w:rPr>
          <w:rFonts w:ascii="Arial" w:hAnsi="Arial"/>
          <w:sz w:val="19"/>
        </w:rPr>
        <w:t xml:space="preserve">Furthermore, we expect to rely on our CROs and clinical trial sites to ensure the proper and timely conduct of our future clinical trials, including the patient enrollment process, and we have limited influence over their performance. Additionally, we could encounter delays if treating physicians face unresolved ethical issues associated with enrolling patients in future clinical trials of ipsoprubart, ELA822 or any future product candidates in lieu of prescribing existing treatments that have established safety and efficacy profiles. </w:t>
      </w:r>
    </w:p>
    <w:p>
      <w:pPr>
        <w:pStyle w:val="TextBody"/>
        <w:bidi w:val="0"/>
        <w:spacing w:before="180" w:after="0"/>
        <w:jc w:val="left"/>
        <w:rPr>
          <w:rFonts w:ascii="Arial" w:hAnsi="Arial"/>
          <w:sz w:val="19"/>
        </w:rPr>
      </w:pPr>
      <w:r>
        <w:rPr>
          <w:rFonts w:ascii="Arial" w:hAnsi="Arial"/>
          <w:sz w:val="19"/>
        </w:rPr>
        <w:t xml:space="preserve">If we are unable to enroll a sufficient number of patients for our clinical trials, it would result in significant delays or might require us to abandon one or more clinical trials altogether. Even if we are able to enroll a sufficient number of patients for our clinical trials, we may have difficulty maintaining patients in our clinical trials. Enrollment delays in our clinical trials may result in increased development costs for ipsoprubart, ELA822 or any future product candidates, slow down or halt our product candidate development and approval process and jeopardize our ability to seek and obtain the regulatory approval required to commence product sales and to generate revenue, which would cause our stock price to decline and limit our ability to obtain additional financing, if needed. </w:t>
      </w:r>
    </w:p>
    <w:p>
      <w:pPr>
        <w:pStyle w:val="TextBody"/>
        <w:bidi w:val="0"/>
        <w:spacing w:before="240" w:after="0"/>
        <w:jc w:val="left"/>
        <w:rPr>
          <w:rFonts w:ascii="Arial" w:hAnsi="Arial"/>
          <w:b/>
          <w:i/>
          <w:sz w:val="19"/>
        </w:rPr>
      </w:pPr>
      <w:r>
        <w:rPr>
          <w:rFonts w:ascii="Arial" w:hAnsi="Arial"/>
          <w:b/>
          <w:i/>
          <w:sz w:val="19"/>
        </w:rPr>
        <w:t xml:space="preserve">Adverse side effects or other safety risks associated with ipsoprubart, ELA822 or any future product candidates we may develop could delay or preclude approval, cause us to suspend or discontinue clinical trials or abandon further development, limit the commercial profile of an approved product, or result in significant negative consequences following regulatory approval, if any. </w:t>
      </w:r>
    </w:p>
    <w:p>
      <w:pPr>
        <w:pStyle w:val="TextBody"/>
        <w:bidi w:val="0"/>
        <w:spacing w:before="40" w:after="0"/>
        <w:jc w:val="left"/>
        <w:rPr>
          <w:rFonts w:ascii="Arial" w:hAnsi="Arial"/>
          <w:sz w:val="19"/>
        </w:rPr>
      </w:pPr>
      <w:r>
        <w:rPr>
          <w:rFonts w:ascii="Arial" w:hAnsi="Arial"/>
          <w:sz w:val="19"/>
        </w:rPr>
        <w:t xml:space="preserve">There may be treatment-related SAEs or unexpected serious adverse reactions suspected to be associated with the use of ipsoprubart, ELA822 or any future product candidates. Our clinical trials may reveal significant adverse events not seen in our nonclinical studies or prior clinical trials and may result in a safety or tolerability profile that could delay or prevent regulatory approval, or market acceptance of ipsoprubart, ELA822 or any future product candidates, if approved. Undesirable or clinically unmanageable side effects observed in our clinical trials for our product candidates could occur and cause us or regulatory authorities to interrupt, delay or halt our clinical trials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and could result in more restrictive labeling than anticipated or the delay or denial of regulatory approval by the FDA or comparable foreign regulatory authorities. If additional adverse events, SAEs or other side effects are observed in any of our clinical trials that are atypical of, or more severe than, the known side effects of the respective class of agents that each of our product candidates are a part of, we may have difficulty recruiting patients to our clinical trials, patients may drop out of our trials, or we may be required to abandon those trials or our development efforts of one or more product candidates altogether. Moreover, we, the FDA, other comparable regulatory authorities or an IRB may suspend clinical trials of a product candidate at any time for various reasons, including a belief that participants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before="180" w:after="0"/>
        <w:jc w:val="left"/>
        <w:rPr>
          <w:rFonts w:ascii="Arial" w:hAnsi="Arial"/>
          <w:sz w:val="19"/>
        </w:rPr>
      </w:pPr>
      <w:r>
        <w:rPr>
          <w:rFonts w:ascii="Arial" w:hAnsi="Arial"/>
          <w:sz w:val="19"/>
        </w:rPr>
        <w:t xml:space="preserve">Furthermore, clinical trials by their nature utilize a sample of the potential patient population. With a limited number of participants and limited duration of exposure, rare and severe side effects of our product candidates or those of our competitors may only be uncovered with a significantly larger number of patients exposed to the drug. Undesirable or clinically unmanageable side effects observed in our clinical trials for our product candidates could also occur following discontinuation of ipsoprubart, ELA822, or any future product candidates with sufficient recovery periods, and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ipsoprubart and ELA822, as applicable, or any clinical or preclinical development of future product candidates, which could result in the delay or denial of regulatory approval by the FDA or other comparable foreign regulatory authorities. Adverse events and SAEs that emerge during clinical investigation of or treatment with ipsoprubart, ELA822 or any future product candidates may be deemed to be related to our product candidates. </w:t>
      </w:r>
    </w:p>
    <w:p>
      <w:pPr>
        <w:pStyle w:val="TextBody"/>
        <w:bidi w:val="0"/>
        <w:spacing w:before="180" w:after="0"/>
        <w:jc w:val="left"/>
        <w:rPr>
          <w:rFonts w:ascii="Arial" w:hAnsi="Arial"/>
          <w:sz w:val="19"/>
        </w:rPr>
      </w:pPr>
      <w:r>
        <w:rPr>
          <w:rFonts w:ascii="Arial" w:hAnsi="Arial"/>
          <w:sz w:val="19"/>
        </w:rPr>
        <w:t xml:space="preserve">Additionally, if any of our product candidates receives regulatory approval, and we or others later identify undesirable side effects caused by such product, a number of potentially significant negative consequences could result. For example, the FDA could require us to adopt a REMS,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be required to suspend marketing of a product, or we may decide to remove such product from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may withdraw or change their approvals of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authorities may require additional warnings on the label or limit access of a product to selective specialized centers with additional safety reporting and with requirements that patients be geographically close to these centers for all or part of their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required to create a medication guide outlining the risks of a product for patients, or to conduct post-marketing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required to change the way a product is administered;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could be subject to fines, injunctions, or the imposition of criminal or civil penalties, or be sued and held liable for harm caused to participants or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product may become less competitive, and our reputation may suffer. </w:t>
            </w:r>
          </w:p>
        </w:tc>
      </w:tr>
    </w:tbl>
    <w:p>
      <w:pPr>
        <w:pStyle w:val="TextBody"/>
        <w:bidi w:val="0"/>
        <w:spacing w:before="180" w:after="0"/>
        <w:jc w:val="left"/>
        <w:rPr>
          <w:rFonts w:ascii="Arial" w:hAnsi="Arial"/>
          <w:sz w:val="19"/>
        </w:rPr>
      </w:pPr>
      <w:r>
        <w:rPr>
          <w:rFonts w:ascii="Arial" w:hAnsi="Arial"/>
          <w:sz w:val="19"/>
        </w:rPr>
        <w:t xml:space="preserve">Any of these events could diminish the usage or otherwise limit the commercial success of our product candidates and prevent us from achieving or maintaining market acceptance of our product candidates, if approved by the FDA or other regulatory authorities.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Preliminary, topline or interim data from our clinical trials that we announce or publish from time to time may change as more patient data become available and/or are subject to audit and verification procedures that could result in material changes in the final data. </w:t>
      </w:r>
    </w:p>
    <w:p>
      <w:pPr>
        <w:pStyle w:val="TextBody"/>
        <w:bidi w:val="0"/>
        <w:spacing w:before="40" w:after="0"/>
        <w:jc w:val="left"/>
        <w:rPr>
          <w:rFonts w:ascii="Arial" w:hAnsi="Arial"/>
          <w:sz w:val="19"/>
        </w:rPr>
      </w:pPr>
      <w:r>
        <w:rPr>
          <w:rFonts w:ascii="Arial" w:hAnsi="Arial"/>
          <w:sz w:val="19"/>
        </w:rPr>
        <w:t xml:space="preserve">From time to time, we may publicly disclose preliminary, topline or interim data from our clinical trials, such as preliminary, topline or interim data analysis from our ongoing Phase 2/3 registrational trial of ipsoprubart in sHLH and Phase 1 clinical trial of ipsoprubart in T cell malignancies. These data and related findings and conclusions may only reflect certain endpoints rather than all endpoints and are subject to change.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have been received and fully evaluated. </w:t>
      </w:r>
    </w:p>
    <w:p>
      <w:pPr>
        <w:pStyle w:val="TextBody"/>
        <w:bidi w:val="0"/>
        <w:spacing w:before="180" w:after="0"/>
        <w:jc w:val="left"/>
        <w:rPr>
          <w:rFonts w:ascii="Arial" w:hAnsi="Arial"/>
          <w:sz w:val="19"/>
        </w:rPr>
      </w:pPr>
      <w:r>
        <w:rPr>
          <w:rFonts w:ascii="Arial" w:hAnsi="Arial"/>
          <w:sz w:val="19"/>
        </w:rPr>
        <w:t xml:space="preserve">Preliminary or topline data also remain subject to review and verification procedures that may result in the final data being materially different from the preliminary or topline data we previously published. As a result, preliminary and topline data should be viewed with caution until the final data are available. In addition, we may report preliminary data or interim analyses of the clinical trials we may conduct and complete, which are subject to the risk that one or more of the clinical outcomes may materially change as patient enrollment continues and more patient data become available. Adverse changes between preliminary or interim data and final data could significantly harm our business and prospects. Further, additional disclosure of preliminary or interim data by us in the future could result in volatility in the price of our common stock. </w:t>
      </w:r>
    </w:p>
    <w:p>
      <w:pPr>
        <w:pStyle w:val="TextBody"/>
        <w:bidi w:val="0"/>
        <w:spacing w:before="180" w:after="0"/>
        <w:jc w:val="left"/>
        <w:rPr>
          <w:rFonts w:ascii="Arial" w:hAnsi="Arial"/>
          <w:sz w:val="19"/>
        </w:rPr>
      </w:pPr>
      <w:r>
        <w:rPr>
          <w:rFonts w:ascii="Arial" w:hAnsi="Arial"/>
          <w:sz w:val="19"/>
        </w:rPr>
        <w:t xml:space="preserve">Further,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topline or interim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The incidence and prevalence for target patient populations of one or more of our current product candidates have not been established with precision. If the market opportunities for our current or future product candidates are smaller than we estimate or if any approval that we may obtain is based on a narrower definition of the patient population, our revenue and ability to achieve profitability will be adversely affected, possibly materially. </w:t>
      </w:r>
    </w:p>
    <w:p>
      <w:pPr>
        <w:pStyle w:val="TextBody"/>
        <w:bidi w:val="0"/>
        <w:spacing w:before="40" w:after="0"/>
        <w:jc w:val="left"/>
        <w:rPr>
          <w:rFonts w:ascii="Arial" w:hAnsi="Arial"/>
          <w:sz w:val="19"/>
        </w:rPr>
      </w:pPr>
      <w:r>
        <w:rPr>
          <w:rFonts w:ascii="Arial" w:hAnsi="Arial"/>
          <w:sz w:val="19"/>
        </w:rPr>
        <w:t xml:space="preserve">Our projections of the number of people who have sHLH and T cell malignancies, as well as other diseases in immunology and cancer that we are targeting, and who have the potential to benefit from treatment with ipsoprubart, ELA822 or any of our future product candidates, are based on our beliefs and estimates. These estimates have been derived from a variety of sources, including scientific literature, surveys of clinics, patient foundations or market research, and may prove to be incorrect. In particular, our estimates of the sHLH patient population and projected growth rates are based primarily on a single internally commissioned claims data analysis using International Classification of Diseases diagnosis codes, which may not capture misdiagnosed or undiagnosed patients and may be subject to coding variability. The compound annual growth rate we have cited for the sHLH diagnosed population may not be sustained, and the projected patient population may be materially lower than our estimates. Further, new studies may change the estimated incidence or prevalence of the indications that we are targeting. The potentially addressable patient population for ipsoprubart, ELA822 or any of our future product candidates may be more limited than we currently estimate or may not be amenable to treatment with such product candidates. </w:t>
      </w:r>
    </w:p>
    <w:p>
      <w:pPr>
        <w:pStyle w:val="TextBody"/>
        <w:bidi w:val="0"/>
        <w:spacing w:before="240" w:after="0"/>
        <w:jc w:val="left"/>
        <w:rPr>
          <w:rFonts w:ascii="Arial" w:hAnsi="Arial"/>
          <w:b/>
          <w:i/>
          <w:sz w:val="19"/>
        </w:rPr>
      </w:pPr>
      <w:r>
        <w:rPr>
          <w:rFonts w:ascii="Arial" w:hAnsi="Arial"/>
          <w:b/>
          <w:i/>
          <w:sz w:val="19"/>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40" w:after="0"/>
        <w:jc w:val="left"/>
        <w:rPr>
          <w:rFonts w:ascii="Arial" w:hAnsi="Arial"/>
          <w:sz w:val="19"/>
        </w:rPr>
      </w:pPr>
      <w:r>
        <w:rPr>
          <w:rFonts w:ascii="Arial" w:hAnsi="Arial"/>
          <w:sz w:val="19"/>
        </w:rPr>
        <w:t xml:space="preserve">We may expend our limited resources to pursue a particular product candidate in specific target indications and fail to capitalize on product candidates or indications that may be more profitable or for which we believe there is a greater likelihood of success. Because we have limited financial and managerial resources, we focus our development efforts on certain selected product candidates in certain selected target indications. For example, we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are currently primarily focused on ipsoprubart for the treatment of sHLH and T cell malignancies. As a result, we may forgo or delay pursuit of opportunities with other product candidates, or other indications for our current or any future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target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240" w:after="0"/>
        <w:jc w:val="left"/>
        <w:rPr>
          <w:rFonts w:ascii="Arial" w:hAnsi="Arial"/>
          <w:b/>
          <w:i/>
          <w:sz w:val="19"/>
        </w:rPr>
      </w:pPr>
      <w:r>
        <w:rPr>
          <w:rFonts w:ascii="Arial" w:hAnsi="Arial"/>
          <w:b/>
          <w:i/>
          <w:sz w:val="19"/>
        </w:rPr>
        <w:t xml:space="preserve">We are conducting and may in the future conduct clinical trials for current or future product candidates outside the United States, and the FDA and comparable foreign regulatory authorities may not accept data from such trials. </w:t>
      </w:r>
    </w:p>
    <w:p>
      <w:pPr>
        <w:pStyle w:val="TextBody"/>
        <w:bidi w:val="0"/>
        <w:spacing w:before="40" w:after="0"/>
        <w:jc w:val="left"/>
        <w:rPr>
          <w:rFonts w:ascii="Arial" w:hAnsi="Arial"/>
          <w:sz w:val="19"/>
        </w:rPr>
      </w:pPr>
      <w:r>
        <w:rPr>
          <w:rFonts w:ascii="Arial" w:hAnsi="Arial"/>
          <w:sz w:val="19"/>
        </w:rPr>
        <w:t xml:space="preserve">We are conducting and may in the future conduct, clinical trials for current or future product candidates outside the United States, and the FDA and comparable foreign regulatory authorities may not accept data from such trials. We are currently conducting clinical trials in the EU, and we expect to continue to conduct trials internationally in the future. The acceptance of data from clinical trials conducted outside the United States by the FDA or other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unless (i) the data are applicable to the U.S. population and U.S. medical practice and (ii) the trials were performed by clinical investigators of recognized competence and pursuant to GCP regulations, and the data may be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if the study was not otherwise conducted pursuant to an IND, the FDA will not accept the data as support for an IND or marketing application unless the study is well-designed and well-conducted in accordance with GCPs and the FDA is able to validate the data from the study through an onsite inspection if deemed necessary.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Conducting clinical trials outside the United States also exposes us to additional risks, including risks associated with foreign exchange fluctuations, compliance with foreign manufacturing, customs, shipment and storage requirements, and cultural differences in medical practice and clinical research, and diminished protection of intellectual property in some countries. </w:t>
      </w:r>
    </w:p>
    <w:p>
      <w:pPr>
        <w:pStyle w:val="TextBody"/>
        <w:bidi w:val="0"/>
        <w:spacing w:before="180" w:after="0"/>
        <w:jc w:val="left"/>
        <w:rPr>
          <w:rFonts w:ascii="Arial" w:hAnsi="Arial"/>
          <w:sz w:val="19"/>
        </w:rPr>
      </w:pPr>
      <w:r>
        <w:rPr>
          <w:rFonts w:ascii="Arial" w:hAnsi="Arial"/>
          <w:sz w:val="19"/>
        </w:rPr>
        <w:t xml:space="preserve">If the FDA or other comparable foreign regulatory authorities do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240" w:after="0"/>
        <w:jc w:val="left"/>
        <w:rPr>
          <w:rFonts w:ascii="Arial" w:hAnsi="Arial"/>
          <w:b/>
          <w:i/>
          <w:sz w:val="19"/>
        </w:rPr>
      </w:pPr>
      <w:r>
        <w:rPr>
          <w:rFonts w:ascii="Arial" w:hAnsi="Arial"/>
          <w:b/>
          <w:i/>
          <w:sz w:val="19"/>
        </w:rPr>
        <w:t xml:space="preserve">If, in the future, we are unable to establish sales and marketing capabilities or enter into agreements with third parties to sell and market any product we may develop, we may not be successful in commercializing those products if they are approved. </w:t>
      </w:r>
    </w:p>
    <w:p>
      <w:pPr>
        <w:pStyle w:val="TextBody"/>
        <w:bidi w:val="0"/>
        <w:spacing w:before="40" w:after="0"/>
        <w:jc w:val="left"/>
        <w:rPr>
          <w:rFonts w:ascii="Arial" w:hAnsi="Arial"/>
          <w:sz w:val="19"/>
        </w:rPr>
      </w:pPr>
      <w:r>
        <w:rPr>
          <w:rFonts w:ascii="Arial" w:hAnsi="Arial"/>
          <w:sz w:val="19"/>
        </w:rPr>
        <w:t xml:space="preserve">We do not have a sales or marketing infrastructure and have limited experience in the sales, marketing and distribution of drug products. To achieve commercial success for any approved product, we must either develop a sales and marketing organization or outsource these functions to third parties. In the future and if any of our product candidates are approved, we may choose to build a focused sales, marketing and commercial support infrastructure to sell, or participate in sales activities with collaborators for some of our current or future product candidates. </w:t>
      </w:r>
    </w:p>
    <w:p>
      <w:pPr>
        <w:pStyle w:val="TextBody"/>
        <w:bidi w:val="0"/>
        <w:spacing w:before="180" w:after="0"/>
        <w:jc w:val="left"/>
        <w:rPr>
          <w:rFonts w:ascii="Arial" w:hAnsi="Arial"/>
          <w:sz w:val="19"/>
        </w:rPr>
      </w:pPr>
      <w:r>
        <w:rPr>
          <w:rFonts w:ascii="Arial" w:hAnsi="Arial"/>
          <w:sz w:val="19"/>
        </w:rPr>
        <w:t xml:space="preserve">There are risks involved with both establishing our own commercial capabilities and entering into arrangements with third parties to perform these services. For example, factors that may inhibit our efforts to commercialize any approved product candidates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inability to recruit and retain adequate numbers of effective sales, marketing, coverage or reimbursement, customer service, medical affairs and other support personnel; the inability of sales personnel to obtain access to or educate decision makers of the utility of future approved product candidates;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inability to price any of our current or future product candidates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restricted or closed distribution channels that make it difficult to distribute our current or future product candidates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lack of complementary product candidates to be offered by sales personnel, which may put us at a competitive disadvantage relative to companies with more extensive product candidate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unforeseen costs and expenses associated with creating an independent commercialization organization. </w:t>
            </w:r>
          </w:p>
        </w:tc>
      </w:tr>
    </w:tbl>
    <w:p>
      <w:pPr>
        <w:pStyle w:val="TextBody"/>
        <w:bidi w:val="0"/>
        <w:spacing w:before="180" w:after="0"/>
        <w:jc w:val="left"/>
        <w:rPr>
          <w:rFonts w:ascii="Arial" w:hAnsi="Arial"/>
          <w:sz w:val="19"/>
        </w:rPr>
      </w:pPr>
      <w:r>
        <w:rPr>
          <w:rFonts w:ascii="Arial" w:hAnsi="Arial"/>
          <w:sz w:val="19"/>
        </w:rPr>
        <w:t xml:space="preserve">If the commercial launch of a product candidate, if approved,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180" w:after="0"/>
        <w:jc w:val="left"/>
        <w:rPr>
          <w:rFonts w:ascii="Arial" w:hAnsi="Arial"/>
          <w:sz w:val="19"/>
        </w:rPr>
      </w:pPr>
      <w:r>
        <w:rPr>
          <w:rFonts w:ascii="Arial" w:hAnsi="Arial"/>
          <w:sz w:val="19"/>
        </w:rPr>
        <w:t xml:space="preserve">If we enter into arrangements with third parties to perform sales, marketing, commercial support and distribution services, our sales revenue or the profitability of sales revenue may be lower than if we were to do so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 candidates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0"/>
        <w:jc w:val="left"/>
        <w:rPr>
          <w:rFonts w:ascii="Arial" w:hAnsi="Arial"/>
          <w:b/>
          <w:i/>
          <w:sz w:val="19"/>
        </w:rPr>
      </w:pPr>
      <w:r>
        <w:rPr>
          <w:rFonts w:ascii="Arial" w:hAnsi="Arial"/>
          <w:b/>
          <w:i/>
          <w:sz w:val="19"/>
        </w:rPr>
        <w:t xml:space="preserve">Our current or future product candidates may not achieve adequate market acceptance among physicians, patients or their families, healthcare payors and others in the medical community necessary for commercial success. </w:t>
      </w:r>
    </w:p>
    <w:p>
      <w:pPr>
        <w:pStyle w:val="TextBody"/>
        <w:bidi w:val="0"/>
        <w:spacing w:before="40" w:after="0"/>
        <w:jc w:val="left"/>
        <w:rPr>
          <w:rFonts w:ascii="Arial" w:hAnsi="Arial"/>
          <w:sz w:val="19"/>
        </w:rPr>
      </w:pPr>
      <w:r>
        <w:rPr>
          <w:rFonts w:ascii="Arial" w:hAnsi="Arial"/>
          <w:sz w:val="19"/>
        </w:rPr>
        <w:t xml:space="preserve">Even if our current or future product candidates receive regulatory approval, they may not gain adequate market acceptance among physicians, patients or their families, third-party payors and others in the medical community. The degree of market acceptance of any of our approved product candidates will be dependent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efficacy, durability and safety profile as demonstrated in clinical trials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clinical indications for which a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restrictions on the use of product candidates in the labeling approved by regulatory authorities, such as boxed warnings or contraindications in labeling, or a REMS or comparable foreign strategy, if any, which may not be required of alternative treatments and competitor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terms of any approvals and the countries in which such approvals are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potential and perceived advantages of our current or future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cost of treatment in relation to alternative treatments and the cost/benefit ratios of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availability of coverage and adequate reimbursement by third-party payors, including government authorities, and timing of relevant formulary decision-making resulting in this coverage and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availability of an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relative convenience and ease of administration in relation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effectiveness of sales, marketing efforts and market access;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publicity relating to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approval of new therapies for the same indications.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If any of our current or future product candidates are approved but do not achieve an adequate level of acceptance by physicians, hospitals, healthcare payors and patients, we may not generate or derive sufficient revenue from that product candidate and our financial results could be negatively impacted. Our efforts to educate the medical community and third-party payors regarding the benefits of our products may require significant resources and may never be successful. </w:t>
      </w:r>
    </w:p>
    <w:p>
      <w:pPr>
        <w:pStyle w:val="TextBody"/>
        <w:bidi w:val="0"/>
        <w:spacing w:before="240" w:after="0"/>
        <w:jc w:val="left"/>
        <w:rPr>
          <w:rFonts w:ascii="Arial" w:hAnsi="Arial"/>
          <w:b/>
          <w:i/>
          <w:sz w:val="19"/>
        </w:rPr>
      </w:pPr>
      <w:r>
        <w:rPr>
          <w:rFonts w:ascii="Arial" w:hAnsi="Arial"/>
          <w:b/>
          <w:i/>
          <w:sz w:val="19"/>
        </w:rPr>
        <w:t xml:space="preserve">If our product candidates do not achieve projected development milestones or commercialization in the announced or expected timeframes, the further development or commercialization of such product candidates may be delayed, and our business will be harmed. </w:t>
      </w:r>
    </w:p>
    <w:p>
      <w:pPr>
        <w:pStyle w:val="TextBody"/>
        <w:bidi w:val="0"/>
        <w:spacing w:before="40" w:after="0"/>
        <w:jc w:val="left"/>
        <w:rPr>
          <w:rFonts w:ascii="Arial" w:hAnsi="Arial"/>
          <w:sz w:val="19"/>
        </w:rPr>
      </w:pPr>
      <w:r>
        <w:rPr>
          <w:rFonts w:ascii="Arial" w:hAnsi="Arial"/>
          <w:sz w:val="19"/>
        </w:rPr>
        <w:t xml:space="preserve">We have estimated, and may in the future estimate, the timing of the accomplishment of various scientific, clinical, manufacturing, regulatory and other product development objectives. These milestones have and may include our expectations regarding the commencement or completion of nonclinical studies and clinical trials, data readouts, the submission of regulatory filings, the receipt of regulatory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and the receipt of key regulatory approvals or actions,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 </w:t>
      </w:r>
    </w:p>
    <w:p>
      <w:pPr>
        <w:pStyle w:val="TextBody"/>
        <w:bidi w:val="0"/>
        <w:spacing w:before="240" w:after="0"/>
        <w:jc w:val="left"/>
        <w:rPr>
          <w:rFonts w:ascii="Arial" w:hAnsi="Arial"/>
          <w:b/>
          <w:sz w:val="20"/>
        </w:rPr>
      </w:pPr>
      <w:r>
        <w:rPr>
          <w:rFonts w:ascii="Arial" w:hAnsi="Arial"/>
          <w:b/>
          <w:sz w:val="20"/>
        </w:rPr>
        <w:t xml:space="preserve">Risks Related to Our Business and Operations </w:t>
      </w:r>
    </w:p>
    <w:p>
      <w:pPr>
        <w:pStyle w:val="TextBody"/>
        <w:bidi w:val="0"/>
        <w:spacing w:before="240" w:after="0"/>
        <w:jc w:val="left"/>
        <w:rPr>
          <w:rFonts w:ascii="Arial" w:hAnsi="Arial"/>
          <w:b/>
          <w:i/>
          <w:sz w:val="19"/>
        </w:rPr>
      </w:pPr>
      <w:r>
        <w:rPr>
          <w:rFonts w:ascii="Arial" w:hAnsi="Arial"/>
          <w:b/>
          <w:i/>
          <w:sz w:val="19"/>
        </w:rPr>
        <w:t xml:space="preserve">Our future performance is dependent on our ability to retain key employees and to attract, retain and motivate qualified personnel and manage our human capital. </w:t>
      </w:r>
    </w:p>
    <w:p>
      <w:pPr>
        <w:pStyle w:val="TextBody"/>
        <w:bidi w:val="0"/>
        <w:spacing w:before="40" w:after="0"/>
        <w:jc w:val="left"/>
        <w:rPr>
          <w:rFonts w:ascii="Arial" w:hAnsi="Arial"/>
          <w:sz w:val="19"/>
        </w:rPr>
      </w:pPr>
      <w:r>
        <w:rPr>
          <w:rFonts w:ascii="Arial" w:hAnsi="Arial"/>
          <w:sz w:val="19"/>
        </w:rPr>
        <w:t xml:space="preserve">Our ability to compete in the highly competitive biotechnology and biopharmaceutical industries is largely dependent on our ability to attract, motivate and retain highly qualified managerial, clinical, quality control, scientific and medical personnel. We are highly dependent on the development and management expertise of our executive officer team. We currently do not maintain “key person” life insurance on these individuals or any of our employees. This lack of insurance means that we may not have adequate compensation for the loss of the services of these individuals. The loss of one or more members of our management team or other key employees or advisors could delay our research and development programs and have a material and adverse effect on our business, financial condition, results of operations, and prospects. We are dependent on the continued service of our technical personnel, because of the highly technical nature of ipsoprubart, ELA822 or any future product candidates and technologies, and the specialized nature of the regulatory approval process. Because our management team and key employees are not obligated to provide us with continued service, they could terminate their employment with us at any time without penalty. </w:t>
      </w:r>
    </w:p>
    <w:p>
      <w:pPr>
        <w:pStyle w:val="TextBody"/>
        <w:bidi w:val="0"/>
        <w:spacing w:before="180" w:after="0"/>
        <w:jc w:val="left"/>
        <w:rPr>
          <w:rFonts w:ascii="Arial" w:hAnsi="Arial"/>
          <w:sz w:val="19"/>
        </w:rPr>
      </w:pPr>
      <w:r>
        <w:rPr>
          <w:rFonts w:ascii="Arial" w:hAnsi="Arial"/>
          <w:sz w:val="19"/>
        </w:rPr>
        <w:t xml:space="preserve">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180" w:after="0"/>
        <w:jc w:val="left"/>
        <w:rPr>
          <w:rFonts w:ascii="Arial" w:hAnsi="Arial"/>
          <w:sz w:val="19"/>
        </w:rPr>
      </w:pPr>
      <w:r>
        <w:rPr>
          <w:rFonts w:ascii="Arial" w:hAnsi="Arial"/>
          <w:sz w:val="19"/>
        </w:rPr>
        <w:t xml:space="preserve">We conduct our in-person operations at our facilities in South San Francisco, California. This region is a headquarter to many other biopharmaceutical companies and academic and research institutions. Competition for skilled personnel in our market, and nationally, is intense and may limit our ability to hire and retain highly qualified personnel on acceptable terms or at all. We also face competition for personnel from other companies, universities, public and private research institutions, government entities and other organizations. Our industry has experienced a high rate of turnover of management personnel in recent years. Our future performance will be dependent in large part on our continued ability to attract and retain highly qualified scientific, technical and management personnel, as well as personnel with expertise in clinical testing, manufacturing, governmental regulation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commercialization. If we are unable to continue to attract and retain high-quality personnel, the rate and success at which we can discover and develop product candidates will be limited, which could have a material and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Our future growth may be dependent, in part, on our ability to operate in foreign markets, where we would be subject to additional regulatory burdens and other risks and uncertainties. </w:t>
      </w:r>
    </w:p>
    <w:p>
      <w:pPr>
        <w:pStyle w:val="TextBody"/>
        <w:bidi w:val="0"/>
        <w:spacing w:before="40" w:after="0"/>
        <w:jc w:val="left"/>
        <w:rPr>
          <w:rFonts w:ascii="Arial" w:hAnsi="Arial"/>
          <w:sz w:val="19"/>
        </w:rPr>
      </w:pPr>
      <w:r>
        <w:rPr>
          <w:rFonts w:ascii="Arial" w:hAnsi="Arial"/>
          <w:sz w:val="19"/>
        </w:rPr>
        <w:t xml:space="preserve">Our future growth may be dependent, in part, on our ability to develop and commercialize ipsoprubart and ELA822, if approved, and any future product candidates in foreign markets for which we may rely on collaboration with third parties. We are not permitted to market or promote ipsoprubart, ELA822 or any future product candidates before we receive regulatory approval from the applicable regulatory authority in that foreign market and may never receive such regulatory approval for ipsoprubart, ELA822 or any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ipsoprubart, ELA822 or any future product candidates, and we cannot predict success in these jurisdictions. Approval procedures may be more onerous than those in the United States and may require that we conduct additional nonclinical studies or clinical trials. If we fail to comply with the regulatory requirements in international markets and receive applicable regulatory approvals, our target market will be reduced and our ability to realize the full market potential of ipsoprubart, ELA822 or any future product candidates will be harmed and our business will be adversely affected. We may not obtain foreign regulatory approvals on a timely basis, if at all. Our failure to obtain approval of any of ipsoprubart, ELA822 or any future product candidates by regulatory authorities in another country may significantly diminish the commercial prospects of that product candidate and our business, financial condition, results of operations, and prospects could be materially and adversely affected. Moreover, even if we obtain approval of ipsoprubart, ELA822 or any future product candidates and ultimately commercialize ipsoprubart, ELA822 or any future product candidates in foreign markets, we would be subject to additional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240" w:after="0"/>
        <w:jc w:val="left"/>
        <w:rPr>
          <w:rFonts w:ascii="Arial" w:hAnsi="Arial"/>
          <w:b/>
          <w:i/>
          <w:sz w:val="19"/>
        </w:rPr>
      </w:pPr>
      <w:r>
        <w:rPr>
          <w:rFonts w:ascii="Arial" w:hAnsi="Arial"/>
          <w:b/>
          <w:i/>
          <w:sz w:val="19"/>
        </w:rPr>
        <w:t xml:space="preserve">We expect to expand our development, clinical and regulatory capabilities and operations as we grow, and as a result, we may encounter difficulties in managing our growth, which could disrupt our operations. </w:t>
      </w:r>
    </w:p>
    <w:p>
      <w:pPr>
        <w:pStyle w:val="TextBody"/>
        <w:bidi w:val="0"/>
        <w:spacing w:before="40" w:after="0"/>
        <w:jc w:val="left"/>
        <w:rPr>
          <w:rFonts w:ascii="Arial" w:hAnsi="Arial"/>
          <w:sz w:val="19"/>
        </w:rPr>
      </w:pPr>
      <w:r>
        <w:rPr>
          <w:rFonts w:ascii="Arial" w:hAnsi="Arial"/>
          <w:sz w:val="19"/>
        </w:rPr>
        <w:t xml:space="preserve">As of June 30, 2026, we had 46 full-time employees. We expect to increase the number of our employees and the scope of our operations, particularly in the areas of clinical development, clinical operations, manufacturing, late-stage regulatory affairs, finance, accounting, management information systems, business operations, public company compliance, communications and other corporate development functions, and, if ipsoprubart, ELA822 or any of our future product candidates receive regulatory approval, sales, marketing and distribution capabilities. If we acquire additional product candidates or enter into collaborations in the future, we may have to further expand our employee base beyond our current projections, which may include further preclinical research and development or additional later-stage regulatory operations. To manage our anticipated future growth, we must continue to implement and improve our managerial, operational and financial systems, expand our facilities and continue to recruit and train additional qualified personnel. Due to our limited financial resources and the complexities associated with managing anticipated growth and developing sales, marketing, and distribution infrastructure, our management team may encounter challenges in scaling our operations efficiently, including recruiting, training, and retaining additional qualified personnel. As our operations expand, we also expect that we will need to manage additional relationships with various strategic partners, suppliers and other third parties. The expansion of our operations may lead to significant costs and may divert the time and attention of our management from day-to-day activities and harm our development efforts. If we are unable to raise capital when needed or on acceptable terms, we may be forced to delay, reduce, or eliminate certain of our research and development programs. </w:t>
      </w:r>
    </w:p>
    <w:p>
      <w:pPr>
        <w:pStyle w:val="TextBody"/>
        <w:bidi w:val="0"/>
        <w:spacing w:before="180" w:after="0"/>
        <w:jc w:val="left"/>
        <w:rPr>
          <w:rFonts w:ascii="Arial" w:hAnsi="Arial"/>
          <w:sz w:val="19"/>
        </w:rPr>
      </w:pPr>
      <w:r>
        <w:rPr>
          <w:rFonts w:ascii="Arial" w:hAnsi="Arial"/>
          <w:sz w:val="19"/>
        </w:rPr>
        <w:t xml:space="preserve">If we are not able to effectively manage growth and expand our operations, we may not be able to successfully implement the tasks necessary to further develop and commercialize, if approved, ipsoprubart, ELA822 or any future product candidates and, accordingly, we may not achieve our research, development and commercialization goals.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We face substantial competition, which may result in others discovering, developing or commercializing products before or more successfully than we do. </w:t>
      </w:r>
    </w:p>
    <w:p>
      <w:pPr>
        <w:pStyle w:val="TextBody"/>
        <w:bidi w:val="0"/>
        <w:spacing w:before="40" w:after="0"/>
        <w:jc w:val="left"/>
        <w:rPr>
          <w:rFonts w:ascii="Arial" w:hAnsi="Arial"/>
          <w:sz w:val="19"/>
        </w:rPr>
      </w:pPr>
      <w:r>
        <w:rPr>
          <w:rFonts w:ascii="Arial" w:hAnsi="Arial"/>
          <w:sz w:val="19"/>
        </w:rPr>
        <w:t xml:space="preserve">The development and commercialization of new drug products is highly competitive. We face competition from entities that have made substantial investments into the rapid development of novel treatments for disorders associated with immune-mediated diseases and cancer, including large and specialty biopharmaceutical and biotechnology companies, some of which already have approved therapies in our current indications. The development and commercialization of product candidates for disorders associated with immune-mediated diseases and cancer is highly competitive. Our current and any future product candidates, if approved, will face significant competition, including from well-established, currently marketed therapies or recommended standards of care, and our failure to demonstrate a meaningful improvement to the existing standards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biopharmaceutical and biotechnology companies, academic research institutions and governmental agencies and public and private research institutions. In particular, for ipsoprubart in sHLH, although there are no therapies approved for the treatment of sHLH broadly, clinicians currently rely on a heterogeneous combination of off-label agents, including corticosteroids, etoposide, alemtuzumab, ruxolitinib, tocilizumab, anakinra, and, in certain subtypes, emapalumab, which is approved for primary HLH and macrophage activation syndrome associated with Still’s disease but not for sHLH broadly. These agents are familiar to treating physicians, are generally available at low cost, and are supported by institutional protocols and clinical experience accumulated over many years. Even if ipsoprubart receives regulatory approval, physicians may prefer to continue using these familiar off-label regimens rather than adopting a newly approved therapy, particularly given the acute and rapidly evolving nature of sHLH, which may limit the time available for physicians to evaluate new treatment options. If we are unable to demonstrate to physicians, patients, and payors that ipsoprubart offers a meaningful clinical advantage over existing off-label approaches, or if physicians are reluctant to change established treatment practices, our ability to achieve commercial success for ipsoprubart would be materially impaired. </w:t>
      </w:r>
    </w:p>
    <w:p>
      <w:pPr>
        <w:pStyle w:val="TextBody"/>
        <w:bidi w:val="0"/>
        <w:spacing w:before="180" w:after="0"/>
        <w:jc w:val="left"/>
        <w:rPr>
          <w:rFonts w:ascii="Arial" w:hAnsi="Arial"/>
          <w:sz w:val="19"/>
        </w:rPr>
      </w:pPr>
      <w:r>
        <w:rPr>
          <w:rFonts w:ascii="Arial" w:hAnsi="Arial"/>
          <w:sz w:val="19"/>
        </w:rPr>
        <w:t xml:space="preserve">Our current product candidates, initially under development for treatment of various immune-mediated diseases and cancer, if approved, would face competition from approved treatments, some of which have achieved commercial success. To compete successfully, we need to differentiate our product candidates from these currently marketed drugs, meaning that we will have to demonstrate that the relative cost, method of administration, safety, tolerability or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standards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 </w:t>
      </w:r>
    </w:p>
    <w:p>
      <w:pPr>
        <w:pStyle w:val="TextBody"/>
        <w:bidi w:val="0"/>
        <w:spacing w:before="180" w:after="0"/>
        <w:jc w:val="left"/>
        <w:rPr>
          <w:rFonts w:ascii="Arial" w:hAnsi="Arial"/>
          <w:sz w:val="19"/>
        </w:rPr>
      </w:pPr>
      <w:r>
        <w:rPr>
          <w:rFonts w:ascii="Arial" w:hAnsi="Arial"/>
          <w:sz w:val="19"/>
        </w:rPr>
        <w:t xml:space="preserve">Many of our competitors have significantly greater financial, technical, manufacturing, marketing, sales and supply resources or experience than us.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patients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In addition, any collaborators may decide to market and sell products that compete with the product candidates that we have agreed to license to them, and any competition by our collaborators could also have a material adverse effect on our future business, financial condition, results of operations, and prospects. Mergers and acquisitions in the biopharmaceutical and biotechnology industries may result in even more resources being concentrated among a smaller number of our competitors. Smaller or earlier-stage companies may also prove to be significant competitors, particularly through collaborative arrangements with large and established companies. These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third parties compete with us in recruiting and retaining qualified management and other personnel and establishing clinical trial sites and recruiting participants for clinical trials, as well as in acquiring technologies complementary to, or necessary for, our programs. </w:t>
      </w:r>
    </w:p>
    <w:p>
      <w:pPr>
        <w:pStyle w:val="TextBody"/>
        <w:bidi w:val="0"/>
        <w:spacing w:before="240" w:after="0"/>
        <w:jc w:val="left"/>
        <w:rPr>
          <w:rFonts w:ascii="Arial" w:hAnsi="Arial"/>
          <w:b/>
          <w:i/>
          <w:sz w:val="19"/>
        </w:rPr>
      </w:pPr>
      <w:r>
        <w:rPr>
          <w:rFonts w:ascii="Arial" w:hAnsi="Arial"/>
          <w:b/>
          <w:i/>
          <w:sz w:val="19"/>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w:t>
      </w:r>
    </w:p>
    <w:p>
      <w:pPr>
        <w:pStyle w:val="TextBody"/>
        <w:bidi w:val="0"/>
        <w:spacing w:before="40" w:after="0"/>
        <w:jc w:val="left"/>
        <w:rPr>
          <w:rFonts w:ascii="Arial" w:hAnsi="Arial"/>
          <w:sz w:val="19"/>
        </w:rPr>
      </w:pPr>
      <w:r>
        <w:rPr>
          <w:rFonts w:ascii="Arial" w:hAnsi="Arial"/>
          <w:sz w:val="19"/>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and clinical trial data (collectively, sensitive information). </w:t>
      </w:r>
    </w:p>
    <w:p>
      <w:pPr>
        <w:pStyle w:val="TextBody"/>
        <w:bidi w:val="0"/>
        <w:spacing w:before="180" w:after="0"/>
        <w:jc w:val="left"/>
        <w:rPr>
          <w:rFonts w:ascii="Arial" w:hAnsi="Arial"/>
          <w:sz w:val="19"/>
        </w:rPr>
      </w:pPr>
      <w:r>
        <w:rPr>
          <w:rFonts w:ascii="Arial" w:hAnsi="Arial"/>
          <w:sz w:val="19"/>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80" w:after="0"/>
        <w:jc w:val="left"/>
        <w:rPr>
          <w:rFonts w:ascii="Arial" w:hAnsi="Arial"/>
          <w:sz w:val="19"/>
        </w:rPr>
      </w:pPr>
      <w:r>
        <w:rPr>
          <w:rFonts w:ascii="Arial" w:hAnsi="Arial"/>
          <w:sz w:val="19"/>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180" w:after="0"/>
        <w:jc w:val="left"/>
        <w:rPr>
          <w:rFonts w:ascii="Arial" w:hAnsi="Arial"/>
          <w:sz w:val="19"/>
        </w:rPr>
      </w:pPr>
      <w:r>
        <w:rPr>
          <w:rFonts w:ascii="Arial" w:hAnsi="Arial"/>
          <w:sz w:val="19"/>
        </w:rPr>
        <w:t xml:space="preserve">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w:t>
      </w:r>
    </w:p>
    <w:p>
      <w:pPr>
        <w:pStyle w:val="TextBody"/>
        <w:bidi w:val="0"/>
        <w:spacing w:before="180" w:after="0"/>
        <w:jc w:val="left"/>
        <w:rPr>
          <w:rFonts w:ascii="Arial" w:hAnsi="Arial"/>
          <w:sz w:val="19"/>
        </w:rPr>
      </w:pPr>
      <w:r>
        <w:rPr>
          <w:rFonts w:ascii="Arial" w:hAnsi="Arial"/>
          <w:sz w:val="19"/>
        </w:rPr>
        <w:t xml:space="preserve">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80" w:after="0"/>
        <w:jc w:val="left"/>
        <w:rPr>
          <w:rFonts w:ascii="Arial" w:hAnsi="Arial"/>
          <w:sz w:val="19"/>
        </w:rPr>
      </w:pPr>
      <w:r>
        <w:rPr>
          <w:rFonts w:ascii="Arial" w:hAnsi="Arial"/>
          <w:sz w:val="19"/>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There can also be no assurance that our and our third party service providers’, strategic partners’, contractors’, consultants’, CROs’ and collaborators’ cybersecurity risk management program and processes, including our policies, controls or procedures, will be fully implemented, complied with or effective in protecting our systems and sensitive information. </w:t>
      </w:r>
    </w:p>
    <w:p>
      <w:pPr>
        <w:pStyle w:val="TextBody"/>
        <w:bidi w:val="0"/>
        <w:spacing w:before="180" w:after="0"/>
        <w:jc w:val="left"/>
        <w:rPr>
          <w:rFonts w:ascii="Arial" w:hAnsi="Arial"/>
          <w:sz w:val="19"/>
        </w:rPr>
      </w:pPr>
      <w:r>
        <w:rPr>
          <w:rFonts w:ascii="Arial" w:hAnsi="Arial"/>
          <w:sz w:val="19"/>
        </w:rPr>
        <w:t xml:space="preserve">Remote work has increased risks to our information technology systems and data, as our employees utilize network connections, computers and devices outside our premises or network, including working at home, while in transit and in public locations. Additionally, any integration of artificial intelligence in our or any third party’s operations, products or services is expected to pose new or unknown cybersecurity risks and challenges.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80" w:after="0"/>
        <w:jc w:val="left"/>
        <w:rPr>
          <w:rFonts w:ascii="Arial" w:hAnsi="Arial"/>
          <w:sz w:val="19"/>
        </w:rPr>
      </w:pPr>
      <w:r>
        <w:rPr>
          <w:rFonts w:ascii="Arial" w:hAnsi="Arial"/>
          <w:sz w:val="19"/>
        </w:rPr>
        <w:t xml:space="preserve">We rely on third parties to operate critical business systems to process sensitive information in a variety of contexts, including, without limitation, cloud-based infrastructure, data center facilities,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 </w:t>
      </w:r>
    </w:p>
    <w:p>
      <w:pPr>
        <w:pStyle w:val="TextBody"/>
        <w:bidi w:val="0"/>
        <w:spacing w:before="180" w:after="0"/>
        <w:jc w:val="left"/>
        <w:rPr>
          <w:rFonts w:ascii="Arial" w:hAnsi="Arial"/>
          <w:sz w:val="19"/>
        </w:rPr>
      </w:pPr>
      <w:r>
        <w:rPr>
          <w:rFonts w:ascii="Arial" w:hAnsi="Arial"/>
          <w:sz w:val="19"/>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For example, in May 2026, an unknown third party exploited a vulnerability in a third-party plugin for our website hosting software and redirected our website visitors to other websites. While we were able to detect this incident and respond promptly, we may not detect and remediate all such vulnerabilities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180" w:after="0"/>
        <w:jc w:val="left"/>
        <w:rPr>
          <w:rFonts w:ascii="Arial" w:hAnsi="Arial"/>
          <w:sz w:val="19"/>
        </w:rPr>
      </w:pPr>
      <w:r>
        <w:rPr>
          <w:rFonts w:ascii="Arial" w:hAnsi="Arial"/>
          <w:sz w:val="19"/>
        </w:rPr>
        <w:t xml:space="preserve">Any of the previously identified or similar threats may cause a security incident or other interruption that may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platform/products/services. 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w:t>
      </w:r>
    </w:p>
    <w:p>
      <w:pPr>
        <w:pStyle w:val="TextBody"/>
        <w:bidi w:val="0"/>
        <w:spacing w:before="180" w:after="0"/>
        <w:jc w:val="left"/>
        <w:rPr>
          <w:rFonts w:ascii="Arial" w:hAnsi="Arial"/>
          <w:sz w:val="19"/>
        </w:rPr>
      </w:pPr>
      <w:r>
        <w:rPr>
          <w:rFonts w:ascii="Arial" w:hAnsi="Arial"/>
          <w:sz w:val="19"/>
        </w:rPr>
        <w:t xml:space="preserve">Applicable data privacy and security obligations may require us, or we may voluntarily choose, to notify relevant stakeholders, including affected individuals, CROs,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80" w:after="0"/>
        <w:jc w:val="left"/>
        <w:rPr>
          <w:rFonts w:ascii="Arial" w:hAnsi="Arial"/>
          <w:sz w:val="19"/>
        </w:rPr>
      </w:pPr>
      <w:r>
        <w:rPr>
          <w:rFonts w:ascii="Arial" w:hAnsi="Arial"/>
          <w:sz w:val="19"/>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 </w:t>
      </w:r>
    </w:p>
    <w:p>
      <w:pPr>
        <w:pStyle w:val="TextBody"/>
        <w:bidi w:val="0"/>
        <w:spacing w:before="180" w:after="0"/>
        <w:jc w:val="left"/>
        <w:rPr>
          <w:rFonts w:ascii="Arial" w:hAnsi="Arial"/>
          <w:sz w:val="19"/>
        </w:rPr>
      </w:pPr>
      <w:r>
        <w:rPr>
          <w:rFonts w:ascii="Arial" w:hAnsi="Arial"/>
          <w:sz w:val="19"/>
        </w:rPr>
        <w:t xml:space="preserve">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incident response, system restoration or remediation and future compliance costs;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negatively impact our ability to grow and operate our business.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0"/>
        <w:jc w:val="left"/>
        <w:rPr>
          <w:rFonts w:ascii="Arial" w:hAnsi="Arial"/>
          <w:b/>
          <w:i/>
          <w:sz w:val="19"/>
        </w:rPr>
      </w:pPr>
      <w:r>
        <w:rPr>
          <w:rFonts w:ascii="Arial" w:hAnsi="Arial"/>
          <w:b/>
          <w:i/>
          <w:sz w:val="19"/>
        </w:rPr>
        <w:t xml:space="preserve">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before="40" w:after="0"/>
        <w:jc w:val="left"/>
        <w:rPr>
          <w:rFonts w:ascii="Arial" w:hAnsi="Arial"/>
          <w:sz w:val="19"/>
        </w:rPr>
      </w:pPr>
      <w:r>
        <w:rPr>
          <w:rFonts w:ascii="Arial" w:hAnsi="Arial"/>
          <w:sz w:val="19"/>
        </w:rPr>
        <w:t xml:space="preserve">In the ordinary course of business, we process personal data and other sensitive information.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80" w:after="0"/>
        <w:jc w:val="left"/>
        <w:rPr>
          <w:rFonts w:ascii="Arial" w:hAnsi="Arial"/>
          <w:sz w:val="19"/>
        </w:rPr>
      </w:pPr>
      <w:r>
        <w:rPr>
          <w:rFonts w:ascii="Arial" w:hAnsi="Arial"/>
          <w:sz w:val="19"/>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protected health information.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w:t>
      </w:r>
    </w:p>
    <w:p>
      <w:pPr>
        <w:pStyle w:val="TextBody"/>
        <w:bidi w:val="0"/>
        <w:spacing w:before="180" w:after="0"/>
        <w:jc w:val="left"/>
        <w:rPr>
          <w:rFonts w:ascii="Arial" w:hAnsi="Arial"/>
          <w:sz w:val="19"/>
        </w:rPr>
      </w:pPr>
      <w:r>
        <w:rPr>
          <w:rFonts w:ascii="Arial" w:hAnsi="Arial"/>
          <w:sz w:val="19"/>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 Similar laws are being considered in several other states, as well as at the federal and local levels, and we expect more states to pass similar laws in the future. We may be or may become subject to new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 </w:t>
      </w:r>
    </w:p>
    <w:p>
      <w:pPr>
        <w:pStyle w:val="TextBody"/>
        <w:bidi w:val="0"/>
        <w:spacing w:before="180" w:after="0"/>
        <w:jc w:val="left"/>
        <w:rPr>
          <w:rFonts w:ascii="Arial" w:hAnsi="Arial"/>
          <w:sz w:val="19"/>
        </w:rPr>
      </w:pPr>
      <w:r>
        <w:rPr>
          <w:rFonts w:ascii="Arial" w:hAnsi="Arial"/>
          <w:sz w:val="19"/>
        </w:rPr>
        <w:t xml:space="preserve">Outside the United States, an increasing number of laws, regulations, and industry standards govern data privacy and security. For example, we are subject to the European Union’s General Data Protection Regulation (EU GDPR) and the United Kingdom’s GDPR (UK GDPR) (collectively, GDPR) by virtue of our sponsoring of clinical trials within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European Economic Area (EEA) or United Kingdom (UK). The EEA consists of the 27 member states of the EU plus Norway, Liechtenstein and Iceland and is subject to EU laws. The GDPR imposes strict requirements for processing personal data of individuals within the EEA or UK or in the context of our activities within the EEA or UK.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In addition to fines, a breach of the GDPR may result in regulatory investigations, reputational damage, orders to cease/change our data processing activities, enforcement notices, and/or civil claims, including private litigation related to processing of personal data brought by classes of data subjects or consumer protection organizations authorized at law to represent their interests. In the EEA, the Network and Information Security Directive (NIS2) regulates resilience and incident response capabilities of entities operating in a number of sectors, including the health sector. Non-compliance with NIS2 may lead to administrative fines of a maximum of 10 million Euros or up to 2% of the total worldwide revenue of the preceding fiscal year. </w:t>
      </w:r>
    </w:p>
    <w:p>
      <w:pPr>
        <w:pStyle w:val="TextBody"/>
        <w:bidi w:val="0"/>
        <w:spacing w:before="180" w:after="0"/>
        <w:jc w:val="left"/>
        <w:rPr>
          <w:rFonts w:ascii="Arial" w:hAnsi="Arial"/>
          <w:sz w:val="19"/>
        </w:rPr>
      </w:pPr>
      <w:r>
        <w:rPr>
          <w:rFonts w:ascii="Arial" w:hAnsi="Arial"/>
          <w:sz w:val="19"/>
        </w:rPr>
        <w:t xml:space="preserve">In the ordinary course of business, we transfer personal data from the EU, UK and other jurisdictions to the United States or other countries. The EU, UK and other jurisdictions have enacted laws requiring data to be localized or limiting the transfer of personal data to other countries. In particular, the EU and other member states of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and other third countries in compliance with law, such as the EU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and other third countries. If there is no lawful manner for us to transfer personal data from the EEA, the UK or other jurisdictions to the United States or other countries in which we operate,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180" w:after="0"/>
        <w:jc w:val="left"/>
        <w:rPr>
          <w:rFonts w:ascii="Arial" w:hAnsi="Arial"/>
          <w:sz w:val="19"/>
        </w:rPr>
      </w:pPr>
      <w:r>
        <w:rPr>
          <w:rFonts w:ascii="Arial" w:hAnsi="Arial"/>
          <w:sz w:val="19"/>
        </w:rPr>
        <w:t xml:space="preserve">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 </w:t>
      </w:r>
    </w:p>
    <w:p>
      <w:pPr>
        <w:pStyle w:val="TextBody"/>
        <w:bidi w:val="0"/>
        <w:spacing w:before="180" w:after="0"/>
        <w:jc w:val="left"/>
        <w:rPr>
          <w:rFonts w:ascii="Arial" w:hAnsi="Arial"/>
          <w:sz w:val="19"/>
        </w:rPr>
      </w:pPr>
      <w:r>
        <w:rPr>
          <w:rFonts w:ascii="Arial" w:hAnsi="Arial"/>
          <w:sz w:val="19"/>
        </w:rPr>
        <w:t xml:space="preserve">In addition to data privacy and security laws, we are contractually subject to industry standards adopted by industry groups and, we may become subject to such obligations. We are also bound by contractual obligations related to data privacy and security, and our efforts to comply with such obligations may not be successful. We also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be deficient, lacking in transparency, deceptive, unfair, misleading, or misrepresentative of our practices, we may be subject to investigation, enforcement actions by regulators or other adverse consequences. </w:t>
      </w:r>
    </w:p>
    <w:p>
      <w:pPr>
        <w:pStyle w:val="TextBody"/>
        <w:bidi w:val="0"/>
        <w:spacing w:before="180" w:after="0"/>
        <w:jc w:val="left"/>
        <w:rPr>
          <w:rFonts w:ascii="Arial" w:hAnsi="Arial"/>
          <w:sz w:val="19"/>
        </w:rPr>
      </w:pPr>
      <w:r>
        <w:rPr>
          <w:rFonts w:ascii="Arial" w:hAnsi="Arial"/>
          <w:sz w:val="19"/>
        </w:rPr>
        <w:t xml:space="preserve">Our employees and personnel use generative artificial intelligence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 </w:t>
      </w:r>
    </w:p>
    <w:p>
      <w:pPr>
        <w:pStyle w:val="TextBody"/>
        <w:bidi w:val="0"/>
        <w:spacing w:before="180" w:after="0"/>
        <w:jc w:val="left"/>
        <w:rPr>
          <w:rFonts w:ascii="Arial" w:hAnsi="Arial"/>
          <w:sz w:val="19"/>
        </w:rPr>
      </w:pPr>
      <w:r>
        <w:rPr>
          <w:rFonts w:ascii="Arial" w:hAnsi="Arial"/>
          <w:sz w:val="19"/>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t>
      </w:r>
    </w:p>
    <w:p>
      <w:pPr>
        <w:pStyle w:val="TextBody"/>
        <w:bidi w:val="0"/>
        <w:spacing w:before="180" w:after="0"/>
        <w:jc w:val="left"/>
        <w:rPr>
          <w:rFonts w:ascii="Arial" w:hAnsi="Arial"/>
          <w:sz w:val="19"/>
        </w:rPr>
      </w:pPr>
      <w:r>
        <w:rPr>
          <w:rFonts w:ascii="Arial" w:hAnsi="Arial"/>
          <w:sz w:val="19"/>
        </w:rPr>
        <w:t xml:space="preserve">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240" w:after="0"/>
        <w:jc w:val="left"/>
        <w:rPr>
          <w:rFonts w:ascii="Arial" w:hAnsi="Arial"/>
          <w:b/>
          <w:i/>
          <w:sz w:val="19"/>
        </w:rPr>
      </w:pPr>
      <w:r>
        <w:rPr>
          <w:rFonts w:ascii="Arial" w:hAnsi="Arial"/>
          <w:b/>
          <w:i/>
          <w:sz w:val="19"/>
        </w:rPr>
        <w:t xml:space="preserve">If we, or any contract manufacturers or suppliers we engage, fail to comply with environmental, health and safety laws and regulations, we could become subject to fines or penalties or incur costs that could harm our business. </w:t>
      </w:r>
    </w:p>
    <w:p>
      <w:pPr>
        <w:pStyle w:val="TextBody"/>
        <w:bidi w:val="0"/>
        <w:spacing w:before="40" w:after="0"/>
        <w:jc w:val="left"/>
        <w:rPr>
          <w:rFonts w:ascii="Arial" w:hAnsi="Arial"/>
          <w:sz w:val="19"/>
        </w:rPr>
      </w:pPr>
      <w:r>
        <w:rPr>
          <w:rFonts w:ascii="Arial" w:hAnsi="Arial"/>
          <w:sz w:val="19"/>
        </w:rPr>
        <w:t xml:space="preserve">We and our third-party contractors are subject to numerous federal, state, local and foreign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80" w:after="0"/>
        <w:jc w:val="left"/>
        <w:rPr>
          <w:rFonts w:ascii="Arial" w:hAnsi="Arial"/>
          <w:sz w:val="19"/>
        </w:rPr>
      </w:pPr>
      <w:r>
        <w:rPr>
          <w:rFonts w:ascii="Arial" w:hAnsi="Arial"/>
          <w:sz w:val="19"/>
        </w:rPr>
        <w:t xml:space="preserve">In addition, our leasing and operation of real property may subject us to liability pursuant to certain of these laws or regulations. Under existing United States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80" w:after="0"/>
        <w:jc w:val="left"/>
        <w:rPr>
          <w:rFonts w:ascii="Arial" w:hAnsi="Arial"/>
          <w:sz w:val="19"/>
        </w:rPr>
      </w:pPr>
      <w:r>
        <w:rPr>
          <w:rFonts w:ascii="Arial" w:hAnsi="Arial"/>
          <w:sz w:val="19"/>
        </w:rPr>
        <w:t xml:space="preserve">We could incur significant costs and liabilities which may adversely affect our financial condition and operating results for failure to comply with such laws and regulations, including, among other things, civil or criminal fines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penalties, property damage and personal injury claims, costs associated with upgrades to our facilities or changes to our operating procedures, or injunctions limiting or altering our operations. </w:t>
      </w:r>
    </w:p>
    <w:p>
      <w:pPr>
        <w:pStyle w:val="TextBody"/>
        <w:bidi w:val="0"/>
        <w:spacing w:before="180" w:after="0"/>
        <w:jc w:val="left"/>
        <w:rPr>
          <w:rFonts w:ascii="Arial" w:hAnsi="Arial"/>
          <w:sz w:val="19"/>
        </w:rPr>
      </w:pPr>
      <w:r>
        <w:rPr>
          <w:rFonts w:ascii="Arial" w:hAnsi="Arial"/>
          <w:sz w:val="19"/>
        </w:rPr>
        <w:t xml:space="preserve">Although we maintain liability insurance to cover us for costs and expenses that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80" w:after="0"/>
        <w:jc w:val="left"/>
        <w:rPr>
          <w:rFonts w:ascii="Arial" w:hAnsi="Arial"/>
          <w:sz w:val="19"/>
        </w:rPr>
      </w:pPr>
      <w:r>
        <w:rPr>
          <w:rFonts w:ascii="Arial" w:hAnsi="Arial"/>
          <w:sz w:val="19"/>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240" w:after="0"/>
        <w:jc w:val="left"/>
        <w:rPr>
          <w:rFonts w:ascii="Arial" w:hAnsi="Arial"/>
          <w:b/>
          <w:i/>
          <w:sz w:val="19"/>
        </w:rPr>
      </w:pPr>
      <w:r>
        <w:rPr>
          <w:rFonts w:ascii="Arial" w:hAnsi="Arial"/>
          <w:b/>
          <w:i/>
          <w:sz w:val="19"/>
        </w:rPr>
        <w:t xml:space="preserve">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 </w:t>
      </w:r>
    </w:p>
    <w:p>
      <w:pPr>
        <w:pStyle w:val="TextBody"/>
        <w:bidi w:val="0"/>
        <w:spacing w:before="40" w:after="0"/>
        <w:jc w:val="left"/>
        <w:rPr>
          <w:rFonts w:ascii="Arial" w:hAnsi="Arial"/>
          <w:sz w:val="19"/>
        </w:rPr>
      </w:pPr>
      <w:r>
        <w:rPr>
          <w:rFonts w:ascii="Arial" w:hAnsi="Arial"/>
          <w:sz w:val="19"/>
        </w:rPr>
        <w:t xml:space="preserve">When we conduct clinical trials of our current and any future product candidates, we may be exposed to significant product liability risks inherent in the development, testing, manufacturing and marketing of therapeutic treatments. Product liability claims could delay or prevent completion of our development programs. If we succeed in marketing products, if approved, such claims could result in an FDA investigation of the safety and effectiveness of our products, our manufacturing processes and facilities or our marketing programs and potentially a recall of our products or more serious enforcement action by U.S. or foreign regulatory authorities, limitations on the approved indications for which they may be used or suspension or withdrawal of approvals. If we cannot successfully defend ourselves against product liability claims, we may incur substantial liabilities or be required to limit, delay or cease the commercialization of our products. Regardless of the merits or eventual outcome, liability claims may also result in decreased demand for our products,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t>
      </w:r>
    </w:p>
    <w:p>
      <w:pPr>
        <w:pStyle w:val="TextBody"/>
        <w:bidi w:val="0"/>
        <w:spacing w:before="180" w:after="0"/>
        <w:jc w:val="left"/>
        <w:rPr>
          <w:rFonts w:ascii="Arial" w:hAnsi="Arial"/>
          <w:sz w:val="19"/>
        </w:rPr>
      </w:pPr>
      <w:r>
        <w:rPr>
          <w:rFonts w:ascii="Arial" w:hAnsi="Arial"/>
          <w:sz w:val="19"/>
        </w:rPr>
        <w:t xml:space="preserve">We currently maintain $5.0 million in general liability insurance and $5.0 million in product liability insurance. We may, however, need to obtain higher levels of insurance coverage for later stages of clinical development or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240" w:after="0"/>
        <w:jc w:val="left"/>
        <w:rPr>
          <w:rFonts w:ascii="Arial" w:hAnsi="Arial"/>
          <w:b/>
          <w:i/>
          <w:sz w:val="19"/>
        </w:rPr>
      </w:pPr>
      <w:r>
        <w:rPr>
          <w:rFonts w:ascii="Arial" w:hAnsi="Arial"/>
          <w:b/>
          <w:i/>
          <w:sz w:val="19"/>
        </w:rPr>
        <w:t xml:space="preserve">Our employees, independent contractors, consultants and vendors may engage in misconduct or other improper activities, including noncompliance with regulatory standards and requirements and insider trading. </w:t>
      </w:r>
    </w:p>
    <w:p>
      <w:pPr>
        <w:pStyle w:val="TextBody"/>
        <w:bidi w:val="0"/>
        <w:spacing w:before="40" w:after="0"/>
        <w:jc w:val="left"/>
        <w:rPr>
          <w:rFonts w:ascii="Arial" w:hAnsi="Arial"/>
          <w:sz w:val="19"/>
        </w:rPr>
      </w:pPr>
      <w:r>
        <w:rPr>
          <w:rFonts w:ascii="Arial" w:hAnsi="Arial"/>
          <w:sz w:val="19"/>
        </w:rPr>
        <w:t xml:space="preserve">We are exposed to the risk of employee fraud or other illegal activity by our employees, independent contractors, consultants and vendors. Misconduct by these parties could include intentional, reckless and/or negligent conduct that fails to comply with FDA regulations, provide true, complete and accurate information to the FDA or other comparable foreign regulatory authorities, comply with manufacturing standards we may establish, comply with healthcare fraud and abuse laws and regulations, report financial information or data accurately or disclose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unauthorized activities to us. If we obtain FDA approval of any of our current or future product candidates and begin commercializing those products in the United States, our potential exposure under these laws will increase significantly, and our costs associated with compliance with these laws will likely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other comparable foreign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240" w:after="0"/>
        <w:jc w:val="left"/>
        <w:rPr>
          <w:rFonts w:ascii="Arial" w:hAnsi="Arial"/>
          <w:b/>
          <w:i/>
          <w:sz w:val="19"/>
        </w:rPr>
      </w:pPr>
      <w:r>
        <w:rPr>
          <w:rFonts w:ascii="Arial" w:hAnsi="Arial"/>
          <w:b/>
          <w:i/>
          <w:sz w:val="19"/>
        </w:rPr>
        <w:t xml:space="preserve">Our ability to use our net operating loss (NOL) carryforwards and certain other tax attributes to offset taxable income or taxes may be limited. </w:t>
      </w:r>
    </w:p>
    <w:p>
      <w:pPr>
        <w:pStyle w:val="TextBody"/>
        <w:bidi w:val="0"/>
        <w:spacing w:before="40" w:after="0"/>
        <w:jc w:val="left"/>
        <w:rPr>
          <w:rFonts w:ascii="Arial" w:hAnsi="Arial"/>
          <w:sz w:val="19"/>
        </w:rPr>
      </w:pPr>
      <w:r>
        <w:rPr>
          <w:rFonts w:ascii="Arial" w:hAnsi="Arial"/>
          <w:sz w:val="19"/>
        </w:rPr>
        <w:t xml:space="preserve">Under U.S. federal income tax law, federal NOLs incurred in tax years beginning after December 31, 2017 may be carried forward indefinitely, but the deductibility of such federal NOLs is limited to 80% of taxable income. In addition, under Sections 382 and 383 of the Internal Revenue Code of 1986, as amended (the Code), and corresponding provisions of state law, if a corporation undergoes an “ownership change,” which is generally defined as a greater than 50 percentage point change, by value, in its equity ownership over a three-year period, the corporation’s ability to utilize its pre-change NOL carryforwards and other pre-change tax attributes to offset its post-change income or taxes may be limited. We performed a detailed analysis as of December 31, 2025 and determined that we had not undergone an ownership change under Section 382 of the Code as of this date. In the future, if we undergo an ownership change, which may be outside of our control or occur as a result of this offering, our ability to utilize our NOL carryforwards and other tax attributes to offset post-change income or taxes may be limited. As a result, even if we attain profitability, our NOL carryforwards and other tax attributes may be subject to material usage limitations, which could negatively impact our future cash flows.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 carryforwards to offset taxable income and certain business credits to offset California state tax liabilities in tax years beginning after 2023 and before 2027. </w:t>
      </w:r>
    </w:p>
    <w:p>
      <w:pPr>
        <w:pStyle w:val="TextBody"/>
        <w:bidi w:val="0"/>
        <w:spacing w:before="240" w:after="0"/>
        <w:jc w:val="left"/>
        <w:rPr>
          <w:rFonts w:ascii="Arial" w:hAnsi="Arial"/>
          <w:b/>
          <w:i/>
          <w:sz w:val="19"/>
        </w:rPr>
      </w:pPr>
      <w:r>
        <w:rPr>
          <w:rFonts w:ascii="Arial" w:hAnsi="Arial"/>
          <w:b/>
          <w:i/>
          <w:sz w:val="19"/>
        </w:rPr>
        <w:t xml:space="preserve">Changes and evolving requirements in tax laws or their interpretation could adversely affect our business. </w:t>
      </w:r>
    </w:p>
    <w:p>
      <w:pPr>
        <w:pStyle w:val="TextBody"/>
        <w:bidi w:val="0"/>
        <w:spacing w:before="40" w:after="0"/>
        <w:jc w:val="left"/>
        <w:rPr>
          <w:rFonts w:ascii="Arial" w:hAnsi="Arial"/>
          <w:sz w:val="19"/>
        </w:rPr>
      </w:pPr>
      <w:r>
        <w:rPr>
          <w:rFonts w:ascii="Arial" w:hAnsi="Arial"/>
          <w:sz w:val="19"/>
        </w:rPr>
        <w:t xml:space="preserve">The tax regimes we are subject to or operate under, including with respect to income and non-income taxes, are unsettled and may be subject to significant change. The One Big Beautiful Bill Act (the OBBBA) enacted in 2025, the Inflation Reduction Act (the IRA)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or other tax legislation, or the enactment of new tax legislation, could increase our future tax liability, which could in turn adversely impact our business and future profitability. The U.S. government may enact further changes to the taxation of business entities including, among others, an increase in the corporate income tax rate, the imposition of minimum taxes or surtaxes on certain types of income and significant changes to the taxation of income derived from international operations. We are unable to predict what changes to the tax laws of the United States and other jurisdictions may be proposed or enacted in the future or what effect such changes would have on our business. Any of these or similar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developments or changes to tax laws or rulings (which changes may have retroactive application) could result in adverse impacts to our financial condition, operating results and prospects and a material change to the tax considerations described herein. </w:t>
      </w:r>
    </w:p>
    <w:p>
      <w:pPr>
        <w:pStyle w:val="TextBody"/>
        <w:bidi w:val="0"/>
        <w:spacing w:before="240" w:after="0"/>
        <w:jc w:val="left"/>
        <w:rPr>
          <w:rFonts w:ascii="Arial" w:hAnsi="Arial"/>
          <w:b/>
          <w:sz w:val="20"/>
        </w:rPr>
      </w:pPr>
      <w:r>
        <w:rPr>
          <w:rFonts w:ascii="Arial" w:hAnsi="Arial"/>
          <w:b/>
          <w:sz w:val="20"/>
        </w:rPr>
        <w:t xml:space="preserve">Risks Related to Our Intellectual Property </w:t>
      </w:r>
    </w:p>
    <w:p>
      <w:pPr>
        <w:pStyle w:val="TextBody"/>
        <w:bidi w:val="0"/>
        <w:spacing w:before="240" w:after="0"/>
        <w:jc w:val="left"/>
        <w:rPr>
          <w:rFonts w:ascii="Arial" w:hAnsi="Arial"/>
          <w:b/>
          <w:i/>
          <w:sz w:val="19"/>
        </w:rPr>
      </w:pPr>
      <w:r>
        <w:rPr>
          <w:rFonts w:ascii="Arial" w:hAnsi="Arial"/>
          <w:b/>
          <w:i/>
          <w:sz w:val="19"/>
        </w:rPr>
        <w:t xml:space="preserve">If we or our future licensors are unable to obtain, maintain, defend, and enforce patent and other intellectual property protection for our current or future product candidates and technologies in the United States or other countries, or if the scope of the patent or other intellectual property protection obtained is not sufficiently broad, we may not be able to compete effectively. </w:t>
      </w:r>
    </w:p>
    <w:p>
      <w:pPr>
        <w:pStyle w:val="TextBody"/>
        <w:bidi w:val="0"/>
        <w:spacing w:before="40" w:after="0"/>
        <w:jc w:val="left"/>
        <w:rPr>
          <w:rFonts w:ascii="Arial" w:hAnsi="Arial"/>
          <w:sz w:val="19"/>
        </w:rPr>
      </w:pPr>
      <w:r>
        <w:rPr>
          <w:rFonts w:ascii="Arial" w:hAnsi="Arial"/>
          <w:sz w:val="19"/>
        </w:rPr>
        <w:t xml:space="preserve">Our success is dependent in part on our ability to obtain and maintain proprietary or intellectual property protection in the United States and other countries for our current product candidates or any future product candidates, as well as our core technologies, including our manufacturing know-how, and on our ability to operate without infringing, misappropriating or otherwise violating the proprietary rights of others. We strive to protect and enhance the proprietary technology, inventions and improvements that are commercially important to the development of our business by seeking, maintaining, defending and enforcing our intellectual property, whether developed internally or licensed from third parties. We also rely on trade secrets, know-how, continuing technological innovation and in-licensing opportunities to develop, strengthen and maintain our proprietary position in our field. </w:t>
      </w:r>
    </w:p>
    <w:p>
      <w:pPr>
        <w:pStyle w:val="TextBody"/>
        <w:bidi w:val="0"/>
        <w:spacing w:before="180" w:after="0"/>
        <w:jc w:val="left"/>
        <w:rPr>
          <w:rFonts w:ascii="Arial" w:hAnsi="Arial"/>
          <w:sz w:val="19"/>
        </w:rPr>
      </w:pPr>
      <w:r>
        <w:rPr>
          <w:rFonts w:ascii="Arial" w:hAnsi="Arial"/>
          <w:sz w:val="19"/>
        </w:rPr>
        <w:t xml:space="preserve">The patent position of biotechnology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current or future owned patent applications, or patent applications we may license in the future,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therapeutic candidates, patents protecting such candidates might expire before or shortly after such candidates are commercialized. </w:t>
      </w:r>
    </w:p>
    <w:p>
      <w:pPr>
        <w:pStyle w:val="TextBody"/>
        <w:bidi w:val="0"/>
        <w:spacing w:before="180" w:after="0"/>
        <w:jc w:val="left"/>
        <w:rPr>
          <w:rFonts w:ascii="Arial" w:hAnsi="Arial"/>
          <w:sz w:val="19"/>
        </w:rPr>
      </w:pPr>
      <w:r>
        <w:rPr>
          <w:rFonts w:ascii="Arial" w:hAnsi="Arial"/>
          <w:sz w:val="19"/>
        </w:rPr>
        <w:t xml:space="preserve">To the extent we develop a licensed patent portfolio, it may not provide us with adequate and continuing patent protection sufficient to exclude others from commercializing therapeutics similar to our product candidates, including biosimilar and interchangeable versions of such therapeutics. In addition, any patent portfolio that is licensed to us is, or may be, licensed to third parties outside our licensed field, and such third parties may have certain enforcement rights. Thus, patents licensed to us could be put at risk of being invalidated or interpreted narrowly or held unenforceable in litigation filed by or against another licensee or in administrative proceedings brought by or against another licensee in response to such litigation or for other reasons. </w:t>
      </w:r>
    </w:p>
    <w:p>
      <w:pPr>
        <w:pStyle w:val="TextBody"/>
        <w:bidi w:val="0"/>
        <w:spacing w:before="180" w:after="0"/>
        <w:jc w:val="left"/>
        <w:rPr>
          <w:rFonts w:ascii="Arial" w:hAnsi="Arial"/>
          <w:sz w:val="19"/>
        </w:rPr>
      </w:pPr>
      <w:r>
        <w:rPr>
          <w:rFonts w:ascii="Arial" w:hAnsi="Arial"/>
          <w:sz w:val="19"/>
        </w:rPr>
        <w:t xml:space="preserve">Other parties may have developed technologies that are related or competitive to our own and such parties may have filed or may file patent applications, or may have received or may receive patents, claiming inventions that may overlap or conflict with those claimed in our own current or future patent applications or issued patents. Publication of discoveries in the scientific literature lags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we or our future licensors were the first to file for patent protection of such inventions. Further, we cannot assure that all of the potentially relevant prior art relating to our current and future patents and patent applications has been found. If such prior art exists, it can invalidate a patent or prevent a patent from issuing from a pending patent application. As a result, the issuance, inventorship, ownership, scope, validity and commercial value of our current and future patent rights cannot be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predicted with any certainty. Further, if the breadth or strength of protection provided by our current and future patents and patent applications is threatened, regardless of the outcome, it could dissuade companies from collaborating with us to license, develop or commercialize current or future product candidates. </w:t>
      </w:r>
    </w:p>
    <w:p>
      <w:pPr>
        <w:pStyle w:val="TextBody"/>
        <w:bidi w:val="0"/>
        <w:spacing w:before="180" w:after="0"/>
        <w:jc w:val="left"/>
        <w:rPr>
          <w:rFonts w:ascii="Arial" w:hAnsi="Arial"/>
          <w:sz w:val="19"/>
        </w:rPr>
      </w:pPr>
      <w:r>
        <w:rPr>
          <w:rFonts w:ascii="Arial" w:hAnsi="Arial"/>
          <w:sz w:val="19"/>
        </w:rPr>
        <w:t xml:space="preserve">In addition, the patent prosecution process is expensive and time-consuming, and we may not be able to file and prosecute all necessary or desirable patent applications at a reasonable cost or in a timely manner. Moreover, the scope of the claims initially submitted for examination may be significantly narrowed by the time they issue, if at all. It is also possible that we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may not have the right to control the preparation, filing and prosecution of patent applications, or to control the maintenance of the patents, covering technology that we may license from third parties in the future. Therefore, these patents and applications may not be filed, prosecuted or maintained in a manner consistent with the best interests of our business. </w:t>
      </w:r>
    </w:p>
    <w:p>
      <w:pPr>
        <w:pStyle w:val="TextBody"/>
        <w:bidi w:val="0"/>
        <w:spacing w:before="180" w:after="0"/>
        <w:jc w:val="left"/>
        <w:rPr>
          <w:rFonts w:ascii="Arial" w:hAnsi="Arial"/>
          <w:sz w:val="19"/>
        </w:rPr>
      </w:pPr>
      <w:r>
        <w:rPr>
          <w:rFonts w:ascii="Arial" w:hAnsi="Arial"/>
          <w:sz w:val="19"/>
        </w:rPr>
        <w:t xml:space="preserve">Even if we acquire patent protection that we expect should enable us to maintain competitive advantage, the issuance of a patent is not conclusive as to its inventorship, ownership, scope, validity or enforceability. Third parties, including former employees, consultants, collaborators and competitors, may challenge the inventorship, ownership, scope, validity or enforceability thereof, which may result in such patents being narrowed, invalidated or held unenforceable. We may become involved in opposition, reexamination, inter partes review, post-grant review, derivation, interference, or similar proceedings in the United States or abroad challenging the claims of our patents, once issued. Furthermore, patents may be challenged in court, once issued. Competitors may have filed patent applications before we did. A competitor may also claim that we are infringing its patents and that we therefore cannot practice our technology as claimed under our patent applications and patents, if issued. As a result, one or more claims of our current or future patents may be narrowed, invalidated or held unenforceable. In litigation, a competitor could claim that our current or future patents, if issued, are not valid for a number of reasons. If a court agrees, we would lose our rights to those challenged patents. </w:t>
      </w:r>
    </w:p>
    <w:p>
      <w:pPr>
        <w:pStyle w:val="TextBody"/>
        <w:bidi w:val="0"/>
        <w:spacing w:before="180" w:after="0"/>
        <w:jc w:val="left"/>
        <w:rPr>
          <w:rFonts w:ascii="Arial" w:hAnsi="Arial"/>
          <w:sz w:val="19"/>
        </w:rPr>
      </w:pPr>
      <w:r>
        <w:rPr>
          <w:rFonts w:ascii="Arial" w:hAnsi="Arial"/>
          <w:sz w:val="19"/>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an ex-U.S. compulsory license. If the patent protection provided by the patents and patent applications we hold or may pursue in the future with respect to our current and future product candidates is not sufficiently broad to impede such competition, our ability to successfully commercialize our product candidates could be negatively affected, which would harm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Certain regulatory exclusivities may be available. However, the scope of such regulatory exclusivities is subject to change, and may not provide us with adequate and continuing protection sufficient to exclude others from commercializing products similar to our product candidates. </w:t>
      </w:r>
    </w:p>
    <w:p>
      <w:pPr>
        <w:pStyle w:val="TextBody"/>
        <w:bidi w:val="0"/>
        <w:spacing w:before="240" w:after="0"/>
        <w:jc w:val="left"/>
        <w:rPr>
          <w:rFonts w:ascii="Arial" w:hAnsi="Arial"/>
          <w:b/>
          <w:i/>
          <w:sz w:val="19"/>
        </w:rPr>
      </w:pPr>
      <w:r>
        <w:rPr>
          <w:rFonts w:ascii="Arial" w:hAnsi="Arial"/>
          <w:b/>
          <w:i/>
          <w:sz w:val="19"/>
        </w:rPr>
        <w:t xml:space="preserve">We cannot ensure that patent rights relating to inventions described and claimed in our pending patent applications will issue or that patents based on our patent applications will not be challenged and rendered invalid and/or unenforceable. </w:t>
      </w:r>
    </w:p>
    <w:p>
      <w:pPr>
        <w:pStyle w:val="TextBody"/>
        <w:bidi w:val="0"/>
        <w:spacing w:before="40" w:after="0"/>
        <w:jc w:val="left"/>
        <w:rPr>
          <w:rFonts w:ascii="Arial" w:hAnsi="Arial"/>
          <w:sz w:val="19"/>
        </w:rPr>
      </w:pPr>
      <w:r>
        <w:rPr>
          <w:rFonts w:ascii="Arial" w:hAnsi="Arial"/>
          <w:sz w:val="19"/>
        </w:rPr>
        <w:t xml:space="preserve">The patent application process is subject to numerous risks and uncertainties, and there can be no assurance that we or any of our potential future collaborators will be successful in protecting our product candidates by obtaining, enforcing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is highly uncertain. We have issued and pending U.S. and foreign patent applications in our portfolio covering aspects of our therapeutic programs; however, we cannot predict: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and when patents may issue based on our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scope of protection of any patent issuing based on our patent applications;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the claims of any patent issuing based on our patent applications will provide protection against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whether or not third parties will find ways to invalidate or circumvent our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or not others will obtain patents claiming aspects similar to those covered by our patents and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will need to initiate litigation or administrative proceedings to enforce and/or defend our patent rights which will be costly whether we win or 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the patent applications that we own or in-license will result in issued patents with claims that cover our product candidates or uses thereof in the United States or in other foreign countries;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whether we may experience patent office interruption or delays to our ability to timely secure patent coverage to our product candidates. </w:t>
            </w:r>
          </w:p>
        </w:tc>
      </w:tr>
    </w:tbl>
    <w:p>
      <w:pPr>
        <w:pStyle w:val="TextBody"/>
        <w:bidi w:val="0"/>
        <w:spacing w:before="180" w:after="0"/>
        <w:jc w:val="left"/>
        <w:rPr>
          <w:rFonts w:ascii="Arial" w:hAnsi="Arial"/>
          <w:sz w:val="19"/>
        </w:rPr>
      </w:pPr>
      <w:r>
        <w:rPr>
          <w:rFonts w:ascii="Arial" w:hAnsi="Arial"/>
          <w:sz w:val="19"/>
        </w:rPr>
        <w:t xml:space="preserve">We cannot be certain that the claims in our pending patent applications directed to our current and future product candidates and/or technologies will be considered patentable by the United States Patent and Trademark Office (USPTO)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current or future product candidates is threatened, it could dissuade companies from collaborating with us to develop and threaten our ability to commercialize our product candidates. </w:t>
      </w:r>
    </w:p>
    <w:p>
      <w:pPr>
        <w:pStyle w:val="TextBody"/>
        <w:bidi w:val="0"/>
        <w:spacing w:before="180" w:after="0"/>
        <w:jc w:val="left"/>
        <w:rPr>
          <w:rFonts w:ascii="Arial" w:hAnsi="Arial"/>
          <w:sz w:val="19"/>
        </w:rPr>
      </w:pPr>
      <w:r>
        <w:rPr>
          <w:rFonts w:ascii="Arial" w:hAnsi="Arial"/>
          <w:sz w:val="19"/>
        </w:rPr>
        <w:t>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oppositions, derivations, reexaminations or </w:t>
      </w:r>
      <w:r>
        <w:rPr>
          <w:rFonts w:ascii="Arial" w:hAnsi="Arial"/>
          <w:i/>
          <w:sz w:val="19"/>
        </w:rPr>
        <w:t>inter partes</w:t>
      </w:r>
      <w:r>
        <w:rPr>
          <w:rFonts w:ascii="Arial" w:hAnsi="Arial"/>
          <w:sz w:val="19"/>
        </w:rPr>
        <w:t xml:space="preserve"> review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therapeutics, or limit the duration of the patent protection of our technologies and product candidates. In the event of litigation or administrative proceedings, we cannot be certain that the claims in any of our issued patents will be considered valid by courts or administrative authorities in the United States or foreign countries.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We may not be able to protect our intellectual property rights throughout the world. </w:t>
      </w:r>
    </w:p>
    <w:p>
      <w:pPr>
        <w:pStyle w:val="TextBody"/>
        <w:bidi w:val="0"/>
        <w:spacing w:before="40" w:after="0"/>
        <w:jc w:val="left"/>
        <w:rPr>
          <w:rFonts w:ascii="Arial" w:hAnsi="Arial"/>
          <w:sz w:val="19"/>
        </w:rPr>
      </w:pPr>
      <w:r>
        <w:rPr>
          <w:rFonts w:ascii="Arial" w:hAnsi="Arial"/>
          <w:sz w:val="19"/>
        </w:rPr>
        <w:t xml:space="preserve">Although we have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jurisdictions where we have not obtained patent protection to develop their own therapeutics and, further, may export otherwise infringing therapeutics to territories where we have patent protection, but enforcement is not as strong as that in the United States. These therapeutics may compete with our product candidates, and our patents, the patents of our future licensors or other intellectual property rights may not be effective or sufficient to prevent them from competing. </w:t>
      </w:r>
    </w:p>
    <w:p>
      <w:pPr>
        <w:pStyle w:val="TextBody"/>
        <w:bidi w:val="0"/>
        <w:spacing w:before="180" w:after="0"/>
        <w:jc w:val="left"/>
        <w:rPr>
          <w:rFonts w:ascii="Arial" w:hAnsi="Arial"/>
          <w:sz w:val="19"/>
        </w:rPr>
      </w:pPr>
      <w:r>
        <w:rPr>
          <w:rFonts w:ascii="Arial" w:hAnsi="Arial"/>
          <w:sz w:val="19"/>
        </w:rPr>
        <w:t xml:space="preserve">Many companies have encountered significant problems in protecting and defending intellectual property rights in foreign jurisdictions. The legal systems of many foreign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therapeutics in violation of our proprietary rights. Proceedings to enforce our patent and other intellectual property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may license. </w:t>
      </w:r>
    </w:p>
    <w:p>
      <w:pPr>
        <w:pStyle w:val="TextBody"/>
        <w:bidi w:val="0"/>
        <w:spacing w:before="180" w:after="0"/>
        <w:jc w:val="left"/>
        <w:rPr>
          <w:rFonts w:ascii="Arial" w:hAnsi="Arial"/>
          <w:sz w:val="19"/>
        </w:rPr>
      </w:pPr>
      <w:r>
        <w:rPr>
          <w:rFonts w:ascii="Arial" w:hAnsi="Arial"/>
          <w:sz w:val="19"/>
        </w:rPr>
        <w:t xml:space="preserve">In addition, geopolitical actions in the United States and in foreign countries could increase the uncertainties and costs surrounding the prosecution or maintenance of our patent applications and the maintenance, enforcement or defense of our issued patents. </w:t>
      </w:r>
    </w:p>
    <w:p>
      <w:pPr>
        <w:pStyle w:val="TextBody"/>
        <w:bidi w:val="0"/>
        <w:spacing w:before="180" w:after="0"/>
        <w:jc w:val="left"/>
        <w:rPr>
          <w:rFonts w:ascii="Arial" w:hAnsi="Arial"/>
          <w:sz w:val="19"/>
        </w:rPr>
      </w:pPr>
      <w:r>
        <w:rPr>
          <w:rFonts w:ascii="Arial" w:hAnsi="Arial"/>
          <w:sz w:val="19"/>
        </w:rPr>
        <w:t xml:space="preserve">Many countries, including China and India, have compulsory licensing laws under which a patent owner may be compelled to grant licenses to third parties. In addition, many countries limit the enforceability of patents against government agencies or government contractors. In these countries, we or any of our future licensors may have limited remedies if patents are infringed or if we or our licensors are compelled to grant a license to a third party,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180" w:after="0"/>
        <w:jc w:val="left"/>
        <w:rPr>
          <w:rFonts w:ascii="Arial" w:hAnsi="Arial"/>
          <w:sz w:val="19"/>
        </w:rPr>
      </w:pPr>
      <w:r>
        <w:rPr>
          <w:rFonts w:ascii="Arial" w:hAnsi="Arial"/>
          <w:sz w:val="19"/>
        </w:rPr>
        <w:t xml:space="preserve">Furthermore, we may not be able to prevent, alone or with our future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240" w:after="0"/>
        <w:jc w:val="left"/>
        <w:rPr>
          <w:rFonts w:ascii="Arial" w:hAnsi="Arial"/>
          <w:b/>
          <w:i/>
          <w:sz w:val="19"/>
        </w:rPr>
      </w:pPr>
      <w:r>
        <w:rPr>
          <w:rFonts w:ascii="Arial" w:hAnsi="Arial"/>
          <w:b/>
          <w:i/>
          <w:sz w:val="19"/>
        </w:rPr>
        <w:t xml:space="preserve">We may not identify relevant third-party patents or may incorrectly interpret the relevance, scope or expiration of a third-party patent, which might adversely affect our ability to develop and market our product candidates. </w:t>
      </w:r>
    </w:p>
    <w:p>
      <w:pPr>
        <w:pStyle w:val="TextBody"/>
        <w:bidi w:val="0"/>
        <w:spacing w:before="40" w:after="0"/>
        <w:jc w:val="left"/>
        <w:rPr>
          <w:rFonts w:ascii="Arial" w:hAnsi="Arial"/>
          <w:sz w:val="19"/>
        </w:rPr>
      </w:pPr>
      <w:r>
        <w:rPr>
          <w:rFonts w:ascii="Arial" w:hAnsi="Arial"/>
          <w:sz w:val="19"/>
        </w:rPr>
        <w:t xml:space="preserve">As the biotechnology industry expands and more patents are issued, the risk increases that our product candidates may be subject to claims of infringement of the patent rights of third parties.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or future product candidates in any jurisdiction. </w:t>
      </w:r>
    </w:p>
    <w:p>
      <w:pPr>
        <w:pStyle w:val="TextBody"/>
        <w:bidi w:val="0"/>
        <w:spacing w:before="180" w:after="0"/>
        <w:jc w:val="left"/>
        <w:rPr>
          <w:rFonts w:ascii="Arial" w:hAnsi="Arial"/>
          <w:sz w:val="19"/>
        </w:rPr>
      </w:pPr>
      <w:r>
        <w:rPr>
          <w:rFonts w:ascii="Arial" w:hAnsi="Arial"/>
          <w:sz w:val="19"/>
        </w:rPr>
        <w:t xml:space="preserve">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current or future technologies, our product candidates or the use of our product candidates. As such, there may be patent applications now pending or recently revived patents of which we are unaware. These patent applications may later result in issued patents, or the revival of previously abandoned patents, that will prevent, limit or otherwise interfere with our ability to make, use or sell our product candidates. </w:t>
      </w:r>
    </w:p>
    <w:p>
      <w:pPr>
        <w:pStyle w:val="TextBody"/>
        <w:bidi w:val="0"/>
        <w:spacing w:before="180" w:after="0"/>
        <w:jc w:val="left"/>
        <w:rPr>
          <w:rFonts w:ascii="Arial" w:hAnsi="Arial"/>
          <w:sz w:val="19"/>
        </w:rPr>
      </w:pPr>
      <w:r>
        <w:rPr>
          <w:rFonts w:ascii="Arial" w:hAnsi="Arial"/>
          <w:sz w:val="19"/>
        </w:rPr>
        <w:t xml:space="preserve">The scope of a patent claim is determined by the literal language of the patent claim, an interpretation of the law, the written disclosure in a patent and the patent’s prosecution history. Our interpretation of the relevance or the scope of a patent or a pending application may be incorrect. For example, we may incorrectly determine that our current or future product candidates are not covered by a third-party patent or may incorrectly predict whether a third party’s pending application will issue with claims of relevant scope. Alternatively, we may incorrectly determine that the Hatch-Waxman Amendments are a defense for a safe harbor to infringement of a patent we consider relevant to the research or clinical development of any of our current or future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our current and future product candidates. </w:t>
      </w:r>
    </w:p>
    <w:p>
      <w:pPr>
        <w:pStyle w:val="TextBody"/>
        <w:bidi w:val="0"/>
        <w:spacing w:before="180" w:after="0"/>
        <w:jc w:val="left"/>
        <w:rPr>
          <w:rFonts w:ascii="Arial" w:hAnsi="Arial"/>
          <w:sz w:val="19"/>
        </w:rPr>
      </w:pPr>
      <w:r>
        <w:rPr>
          <w:rFonts w:ascii="Arial" w:hAnsi="Arial"/>
          <w:sz w:val="19"/>
        </w:rPr>
        <w:t xml:space="preserve">We cannot provide any assurances that third-party patents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240" w:after="0"/>
        <w:jc w:val="left"/>
        <w:rPr>
          <w:rFonts w:ascii="Arial" w:hAnsi="Arial"/>
          <w:b/>
          <w:i/>
          <w:sz w:val="19"/>
        </w:rPr>
      </w:pPr>
      <w:r>
        <w:rPr>
          <w:rFonts w:ascii="Arial" w:hAnsi="Arial"/>
          <w:b/>
          <w:i/>
          <w:sz w:val="19"/>
        </w:rPr>
        <w:t xml:space="preserve">If we are sued for infringing intellectual property rights of third parties, such litigation could be costly and time consuming and could prevent or delay us from developing or commercializing our current and future product candidates. </w:t>
      </w:r>
    </w:p>
    <w:p>
      <w:pPr>
        <w:pStyle w:val="TextBody"/>
        <w:bidi w:val="0"/>
        <w:spacing w:before="40" w:after="0"/>
        <w:jc w:val="left"/>
        <w:rPr>
          <w:rFonts w:ascii="Arial" w:hAnsi="Arial"/>
          <w:sz w:val="19"/>
        </w:rPr>
      </w:pPr>
      <w:r>
        <w:rPr>
          <w:rFonts w:ascii="Arial" w:hAnsi="Arial"/>
          <w:sz w:val="19"/>
        </w:rPr>
        <w:t xml:space="preserve">Our commercial success depends, in part, on our ability to develop, manufacture, market and sell our current and future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180" w:after="0"/>
        <w:jc w:val="left"/>
        <w:rPr>
          <w:rFonts w:ascii="Arial" w:hAnsi="Arial"/>
          <w:sz w:val="19"/>
        </w:rPr>
      </w:pPr>
      <w:r>
        <w:rPr>
          <w:rFonts w:ascii="Arial" w:hAnsi="Arial"/>
          <w:sz w:val="19"/>
        </w:rPr>
        <w:t xml:space="preserve">There is a substantial amount of intellectual property litigation in the biotechnology industries, and we may become party to, or threatened with, litigation or other adversarial proceedings regarding intellectual property rights with respect to our product candidates. We cannot be certain that our product candidates and other proprietary technologies we may develop will not infringe existing or future patents owned by third parties. Third parties may assert infringement claims against us based on existing or future intellectual property rights. If we are found to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financial condition, results of operations, and prospects. Claims that we have misappropriated the confidential information or trade secrets of third parties could have a similar negative impact on our business. </w:t>
      </w:r>
    </w:p>
    <w:p>
      <w:pPr>
        <w:pStyle w:val="TextBody"/>
        <w:bidi w:val="0"/>
        <w:spacing w:before="180" w:after="0"/>
        <w:jc w:val="left"/>
        <w:rPr>
          <w:rFonts w:ascii="Arial" w:hAnsi="Arial"/>
          <w:sz w:val="19"/>
        </w:rPr>
      </w:pPr>
      <w:r>
        <w:rPr>
          <w:rFonts w:ascii="Arial" w:hAnsi="Arial"/>
          <w:sz w:val="19"/>
        </w:rPr>
        <w:t xml:space="preserve">We may not be aware of patents that have already been issued and that a third party, for example, a competitor in the fields in which we are developing our product candidates, might assert are infringed by our current or future product candidates, including claims to compositions, formulations, methods of manufacture or methods of use or treatment that cover such therapeutic candidates. It is also possible that patents owned by third parties of which we are aware, but which we do not believe are relevant to our product candidates and other proprietary technologies we may develop, could be found to be infringed by our current or future product candidates. In addition, because patent applications can take many years to issue, there may be currently pending patent applications that may later result in issued patents that our current or future product candidates may infringe. Our competitors,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current or future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proprietary technologies or methods either do not infringe the patent claims of the relevant patent or that the patent claims are invalid or unenforceable, and we may not be able to do this. Proving invalidity may be difficult.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 </w:t>
      </w:r>
    </w:p>
    <w:p>
      <w:pPr>
        <w:pStyle w:val="TextBody"/>
        <w:bidi w:val="0"/>
        <w:spacing w:before="180" w:after="0"/>
        <w:jc w:val="left"/>
        <w:rPr>
          <w:rFonts w:ascii="Arial" w:hAnsi="Arial"/>
          <w:sz w:val="19"/>
        </w:rPr>
      </w:pPr>
      <w:r>
        <w:rPr>
          <w:rFonts w:ascii="Arial" w:hAnsi="Arial"/>
          <w:sz w:val="19"/>
        </w:rPr>
        <w:t xml:space="preserve">We may choose to challenge the enforceability or validity of claims in a third party’s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foreign patent offices as well.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0"/>
        <w:jc w:val="left"/>
        <w:rPr>
          <w:rFonts w:ascii="Arial" w:hAnsi="Arial"/>
          <w:b/>
          <w:i/>
          <w:sz w:val="19"/>
        </w:rPr>
      </w:pPr>
      <w:r>
        <w:rPr>
          <w:rFonts w:ascii="Arial" w:hAnsi="Arial"/>
          <w:b/>
          <w:i/>
          <w:sz w:val="19"/>
        </w:rPr>
        <w:t xml:space="preserve">We may become involved in lawsuits to protect or enforce our patents or other intellectual property, which could be expensive, time consuming and unsuccessful. </w:t>
      </w:r>
    </w:p>
    <w:p>
      <w:pPr>
        <w:pStyle w:val="TextBody"/>
        <w:bidi w:val="0"/>
        <w:spacing w:before="40" w:after="0"/>
        <w:jc w:val="left"/>
        <w:rPr>
          <w:rFonts w:ascii="Arial" w:hAnsi="Arial"/>
          <w:sz w:val="19"/>
        </w:rPr>
      </w:pPr>
      <w:r>
        <w:rPr>
          <w:rFonts w:ascii="Arial" w:hAnsi="Arial"/>
          <w:sz w:val="19"/>
        </w:rPr>
        <w:t xml:space="preserve">Competitors or other third parties may infringe or otherwise violate our current and future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could lose at least part, and perhaps all, of any future patent protection on our current or future product candidates. Such a loss of patent protection could harm our business.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current or future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 </w:t>
      </w:r>
    </w:p>
    <w:p>
      <w:pPr>
        <w:pStyle w:val="TextBody"/>
        <w:bidi w:val="0"/>
        <w:spacing w:before="180" w:after="0"/>
        <w:jc w:val="left"/>
        <w:rPr>
          <w:rFonts w:ascii="Arial" w:hAnsi="Arial"/>
          <w:sz w:val="19"/>
        </w:rPr>
      </w:pPr>
      <w:r>
        <w:rPr>
          <w:rFonts w:ascii="Arial" w:hAnsi="Arial"/>
          <w:sz w:val="19"/>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180" w:after="0"/>
        <w:jc w:val="left"/>
        <w:rPr>
          <w:rFonts w:ascii="Arial" w:hAnsi="Arial"/>
          <w:sz w:val="19"/>
        </w:rPr>
      </w:pPr>
      <w:r>
        <w:rPr>
          <w:rFonts w:ascii="Arial" w:hAnsi="Arial"/>
          <w:sz w:val="19"/>
        </w:rPr>
        <w:t xml:space="preserve">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 </w:t>
      </w:r>
    </w:p>
    <w:p>
      <w:pPr>
        <w:pStyle w:val="TextBody"/>
        <w:bidi w:val="0"/>
        <w:spacing w:before="240" w:after="0"/>
        <w:jc w:val="left"/>
        <w:rPr>
          <w:rFonts w:ascii="Arial" w:hAnsi="Arial"/>
          <w:b/>
          <w:i/>
          <w:sz w:val="19"/>
        </w:rPr>
      </w:pPr>
      <w:r>
        <w:rPr>
          <w:rFonts w:ascii="Arial" w:hAnsi="Arial"/>
          <w:b/>
          <w:i/>
          <w:sz w:val="19"/>
        </w:rPr>
        <w:t xml:space="preserve">Because of the expense and uncertainty of litigation, we may not be in a position to enforce our intellectual property rights against third parties. </w:t>
      </w:r>
    </w:p>
    <w:p>
      <w:pPr>
        <w:pStyle w:val="TextBody"/>
        <w:bidi w:val="0"/>
        <w:spacing w:before="40" w:after="0"/>
        <w:jc w:val="left"/>
        <w:rPr>
          <w:rFonts w:ascii="Arial" w:hAnsi="Arial"/>
          <w:sz w:val="19"/>
        </w:rPr>
      </w:pPr>
      <w:r>
        <w:rPr>
          <w:rFonts w:ascii="Arial" w:hAnsi="Arial"/>
          <w:sz w:val="19"/>
        </w:rPr>
        <w:t xml:space="preserve">Because of the expense and uncertainty of litigation, we may conclude that even if a third party is infringing our issued patents,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 </w:t>
      </w:r>
    </w:p>
    <w:p>
      <w:pPr>
        <w:pStyle w:val="TextBody"/>
        <w:bidi w:val="0"/>
        <w:spacing w:before="240" w:after="0"/>
        <w:jc w:val="left"/>
        <w:rPr>
          <w:rFonts w:ascii="Arial" w:hAnsi="Arial"/>
          <w:b/>
          <w:i/>
          <w:sz w:val="19"/>
        </w:rPr>
      </w:pPr>
      <w:r>
        <w:rPr>
          <w:rFonts w:ascii="Arial" w:hAnsi="Arial"/>
          <w:b/>
          <w:i/>
          <w:sz w:val="19"/>
        </w:rPr>
        <w:t xml:space="preserve">We may not be successful in obtaining or maintaining necessary rights to our product candidates through acquisitions and in-licenses. </w:t>
      </w:r>
    </w:p>
    <w:p>
      <w:pPr>
        <w:pStyle w:val="TextBody"/>
        <w:bidi w:val="0"/>
        <w:spacing w:before="40" w:after="0"/>
        <w:jc w:val="left"/>
        <w:rPr>
          <w:rFonts w:ascii="Arial" w:hAnsi="Arial"/>
          <w:sz w:val="19"/>
        </w:rPr>
      </w:pPr>
      <w:r>
        <w:rPr>
          <w:rFonts w:ascii="Arial" w:hAnsi="Arial"/>
          <w:sz w:val="19"/>
        </w:rPr>
        <w:t xml:space="preserve">Because our development programs have required,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on terms satisfactory to us or at all. For example, we are party to certain agreements with third parties, including a mouse platform services agreement, a non-exclusive license, a master services agreement and manufacturing agreement, pursuant to which we are obligated to make certain payments, including milestone payments and low single-digit royalties, in exchange for the right to use their respective technologies. If we fail to comply with our payment obligations or otherwise breach any of these agreements, we could lose our rights to use such third-party technologies or pay penalties, which could have a material adverse effect on our business, financial condition, results of operations and prospects.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we may have to abandon development of the relevant program or product candidates, which could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While we normally seek to obtain the right to control the prosecution of patent applications, and the maintenance and enforcement of the patents relating to our current and future product candidates, there may be times when the filing and prosecution activities for patents and patent applications relating to our current and future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such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therapeutics.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 </w:t>
      </w:r>
    </w:p>
    <w:p>
      <w:pPr>
        <w:pStyle w:val="TextBody"/>
        <w:bidi w:val="0"/>
        <w:spacing w:before="180" w:after="0"/>
        <w:jc w:val="left"/>
        <w:rPr>
          <w:rFonts w:ascii="Arial" w:hAnsi="Arial"/>
          <w:sz w:val="19"/>
        </w:rPr>
      </w:pPr>
      <w:r>
        <w:rPr>
          <w:rFonts w:ascii="Arial" w:hAnsi="Arial"/>
          <w:sz w:val="19"/>
        </w:rPr>
        <w:t xml:space="preserve">We may enter into license agreements in the future with others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therapeutics in the future. </w:t>
      </w:r>
    </w:p>
    <w:p>
      <w:pPr>
        <w:pStyle w:val="TextBody"/>
        <w:bidi w:val="0"/>
        <w:spacing w:before="180" w:after="0"/>
        <w:jc w:val="left"/>
        <w:rPr>
          <w:rFonts w:ascii="Arial" w:hAnsi="Arial"/>
          <w:sz w:val="19"/>
        </w:rPr>
      </w:pPr>
      <w:r>
        <w:rPr>
          <w:rFonts w:ascii="Arial" w:hAnsi="Arial"/>
          <w:sz w:val="19"/>
        </w:rPr>
        <w:t xml:space="preserve">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therapeutics and technology. This could have a material adverse effect on our competitive position, business, financial conditions,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80" w:after="0"/>
        <w:jc w:val="left"/>
        <w:rPr>
          <w:rFonts w:ascii="Arial" w:hAnsi="Arial"/>
          <w:sz w:val="19"/>
        </w:rPr>
      </w:pPr>
      <w:r>
        <w:rPr>
          <w:rFonts w:ascii="Arial" w:hAnsi="Arial"/>
          <w:sz w:val="19"/>
        </w:rPr>
        <w:t xml:space="preserve">Disputes may arise between us and our future licensors regarding intellectual property subject to a license agreement. 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80" w:after="0"/>
        <w:jc w:val="left"/>
        <w:rPr>
          <w:rFonts w:ascii="Arial" w:hAnsi="Arial"/>
          <w:sz w:val="19"/>
        </w:rPr>
      </w:pPr>
      <w:r>
        <w:rPr>
          <w:rFonts w:ascii="Arial" w:hAnsi="Arial"/>
          <w:sz w:val="19"/>
        </w:rPr>
        <w:t xml:space="preserve">In spite of our best efforts, our future licensors might conclude that we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patents fail to provide the intended exclusivity, competitors would have the freedom to seek regulatory approval of, and to market, therapeutics identical to ours. This could have a material adverse effect on our competitive position, business, financial conditions, results of operations, and prospects. </w:t>
      </w:r>
    </w:p>
    <w:p>
      <w:pPr>
        <w:pStyle w:val="TextBody"/>
        <w:bidi w:val="0"/>
        <w:spacing w:before="180" w:after="0"/>
        <w:jc w:val="left"/>
        <w:rPr>
          <w:rFonts w:ascii="Arial" w:hAnsi="Arial"/>
          <w:sz w:val="19"/>
        </w:rPr>
      </w:pPr>
      <w:r>
        <w:rPr>
          <w:rFonts w:ascii="Arial" w:hAnsi="Arial"/>
          <w:sz w:val="19"/>
        </w:rPr>
        <w:t xml:space="preserve">Any future collaborations that we enter into may not be successful. The success of our collaboration arrangements will depend heavily on the efforts and activities of our collaborators. </w:t>
      </w:r>
    </w:p>
    <w:p>
      <w:pPr>
        <w:pStyle w:val="TextBody"/>
        <w:bidi w:val="0"/>
        <w:spacing w:before="180" w:after="0"/>
        <w:jc w:val="left"/>
        <w:rPr>
          <w:rFonts w:ascii="Arial" w:hAnsi="Arial"/>
          <w:sz w:val="19"/>
        </w:rPr>
      </w:pPr>
      <w:r>
        <w:rPr>
          <w:rFonts w:ascii="Arial" w:hAnsi="Arial"/>
          <w:sz w:val="19"/>
        </w:rPr>
        <w:t xml:space="preserve">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future licensors limit their use of the technology to these uses, and we could incur substantial expenses to enforce our rights to our licensed technology in the event of misuse. </w:t>
      </w:r>
    </w:p>
    <w:p>
      <w:pPr>
        <w:pStyle w:val="TextBody"/>
        <w:bidi w:val="0"/>
        <w:spacing w:before="180" w:after="0"/>
        <w:jc w:val="left"/>
        <w:rPr>
          <w:rFonts w:ascii="Arial" w:hAnsi="Arial"/>
          <w:sz w:val="19"/>
        </w:rPr>
      </w:pPr>
      <w:r>
        <w:rPr>
          <w:rFonts w:ascii="Arial" w:hAnsi="Arial"/>
          <w:sz w:val="19"/>
        </w:rPr>
        <w:t xml:space="preserve">In addition, the United States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sometimes collaborate with academic institutions to accelerate our preclinical research or development. While it is our policy to avoid engaging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240" w:after="0"/>
        <w:jc w:val="left"/>
        <w:rPr>
          <w:rFonts w:ascii="Arial" w:hAnsi="Arial"/>
          <w:b/>
          <w:i/>
          <w:sz w:val="19"/>
        </w:rPr>
      </w:pPr>
      <w:r>
        <w:rPr>
          <w:rFonts w:ascii="Arial" w:hAnsi="Arial"/>
          <w:b/>
          <w:i/>
          <w:sz w:val="19"/>
        </w:rPr>
        <w:t xml:space="preserve">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before="40" w:after="0"/>
        <w:jc w:val="left"/>
        <w:rPr>
          <w:rFonts w:ascii="Arial" w:hAnsi="Arial"/>
          <w:sz w:val="19"/>
        </w:rPr>
      </w:pPr>
      <w:r>
        <w:rPr>
          <w:rFonts w:ascii="Arial" w:hAnsi="Arial"/>
          <w:sz w:val="19"/>
        </w:rPr>
        <w:t xml:space="preserve">As is common in the biotechnology industry, in addition to our employees, we engage the services of consultants to assist us in the development of our current and future product candidates. Many of these consultants, and many of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these individuals have inadvertently or otherwise used or disclosed intellectual property, trade secrets or other confidential information of any such individual’s current or former employers or clients.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t>
      </w:r>
    </w:p>
    <w:p>
      <w:pPr>
        <w:pStyle w:val="TextBody"/>
        <w:bidi w:val="0"/>
        <w:spacing w:before="180" w:after="0"/>
        <w:jc w:val="left"/>
        <w:rPr>
          <w:rFonts w:ascii="Arial" w:hAnsi="Arial"/>
          <w:sz w:val="19"/>
        </w:rPr>
      </w:pPr>
      <w:r>
        <w:rPr>
          <w:rFonts w:ascii="Arial" w:hAnsi="Arial"/>
          <w:sz w:val="19"/>
        </w:rPr>
        <w:t xml:space="preserve">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current or future product candidates, if such technologies or features are found to incorporate or be derived from the trade secrets or other proprietary information of others.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financial condition, results of operations, and prospects. Even if we are successful in defending against such claims, litigation could result in substantial costs and be a distraction to management. </w:t>
      </w:r>
    </w:p>
    <w:p>
      <w:pPr>
        <w:pStyle w:val="TextBody"/>
        <w:bidi w:val="0"/>
        <w:spacing w:before="240" w:after="0"/>
        <w:jc w:val="left"/>
        <w:rPr>
          <w:rFonts w:ascii="Arial" w:hAnsi="Arial"/>
          <w:b/>
          <w:i/>
          <w:sz w:val="19"/>
        </w:rPr>
      </w:pPr>
      <w:r>
        <w:rPr>
          <w:rFonts w:ascii="Arial" w:hAnsi="Arial"/>
          <w:b/>
          <w:i/>
          <w:sz w:val="19"/>
        </w:rPr>
        <w:t xml:space="preserve">Changes in U.S. patent and ex-U.S. patent laws could diminish the value of patents in general, thereby impairing our ability to protect our current or future product candidates. </w:t>
      </w:r>
    </w:p>
    <w:p>
      <w:pPr>
        <w:pStyle w:val="TextBody"/>
        <w:bidi w:val="0"/>
        <w:spacing w:before="0" w:after="0"/>
        <w:jc w:val="left"/>
        <w:rPr>
          <w:rFonts w:ascii="Arial" w:hAnsi="Arial"/>
          <w:sz w:val="19"/>
        </w:rPr>
      </w:pPr>
      <w:r>
        <w:rPr>
          <w:rFonts w:ascii="Arial" w:hAnsi="Arial"/>
          <w:sz w:val="19"/>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and enforce our intellectual property rights. </w:t>
      </w:r>
    </w:p>
    <w:p>
      <w:pPr>
        <w:pStyle w:val="TextBody"/>
        <w:bidi w:val="0"/>
        <w:spacing w:before="180" w:after="0"/>
        <w:jc w:val="left"/>
        <w:rPr>
          <w:rFonts w:ascii="Arial" w:hAnsi="Arial"/>
          <w:sz w:val="19"/>
        </w:rPr>
      </w:pPr>
      <w:r>
        <w:rPr>
          <w:rFonts w:ascii="Arial" w:hAnsi="Arial"/>
          <w:sz w:val="19"/>
        </w:rPr>
        <w:t xml:space="preserve">For example,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w:t>
      </w:r>
    </w:p>
    <w:p>
      <w:pPr>
        <w:pStyle w:val="TextBody"/>
        <w:bidi w:val="0"/>
        <w:spacing w:before="180" w:after="0"/>
        <w:jc w:val="left"/>
        <w:rPr>
          <w:rFonts w:ascii="Arial" w:hAnsi="Arial"/>
          <w:sz w:val="19"/>
        </w:rPr>
      </w:pPr>
      <w:r>
        <w:rPr>
          <w:rFonts w:ascii="Arial" w:hAnsi="Arial"/>
          <w:sz w:val="19"/>
        </w:rPr>
        <w:t xml:space="preserve">Assuming that other requirements for patentability are met, and after March 2013, under the Leahy-Smith Act, the United States transitioned from a “first-to-invent” system to a “first-to-file” system in which,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future licensors were the first to either (i) file any patent application related to our current or future product candidates and other technologies we may develop or (ii) invent any of the inventions claimed in our or our future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As such, Leahy-Smith Act and its implementation could increase the uncertainties and costs surrounding the prosecution of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patent applications and the enforcement or defense of our issued patents, all of which could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In addition, the patent positions of companies in the development and commercialization of pharmaceuticals and biologics are particularly uncertain. Recent U.S. Supreme Court rulings have narrowed the scope of patent protection available in certain circumstances and weakened the rights of patent owners in certain situations. For example, in Amgen Inc. v. Sanofi, 598 U.S. 594, the U.S. Supreme Court held that claims with functional language may face high hurdles in fulfilling the enablement requirement. In addition, in Juno Therapeutics, Inc. v. Kite Pharma, Inc. 10 F.4th 1330 (Fed. Cir. 2021), the Federal Circuit held claims with functional language supported by few examples invalid for lack of written description. Recent Federal Circuit decisions, such as In re Cellect, LLC, 81 F.4th 1216 (Fed. Cir. 2023), raise questions regarding the award of patent term adjustment (PTA) for patents where related patents have been issued without a PTA. Thus, it cannot be said with certainty how PTA will or will not be viewed in the future and whether patent expiration dates may be impacted. We cannot predict how this and future decisions by the courts will affect our business.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Any similar adverse changes in the patent laws of other jurisdictions could also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Furthermore,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a result, all European patents, including those issued before the implementation of the UPC,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 </w:t>
      </w:r>
    </w:p>
    <w:p>
      <w:pPr>
        <w:pStyle w:val="TextBody"/>
        <w:bidi w:val="0"/>
        <w:spacing w:before="240" w:after="0"/>
        <w:jc w:val="left"/>
        <w:rPr>
          <w:rFonts w:ascii="Arial" w:hAnsi="Arial"/>
          <w:b/>
          <w:i/>
          <w:sz w:val="19"/>
        </w:rPr>
      </w:pPr>
      <w:r>
        <w:rPr>
          <w:rFonts w:ascii="Arial" w:hAnsi="Arial"/>
          <w:b/>
          <w:i/>
          <w:sz w:val="19"/>
        </w:rPr>
        <w:t xml:space="preserve">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40" w:after="0"/>
        <w:jc w:val="left"/>
        <w:rPr>
          <w:rFonts w:ascii="Arial" w:hAnsi="Arial"/>
          <w:sz w:val="19"/>
        </w:rPr>
      </w:pPr>
      <w:r>
        <w:rPr>
          <w:rFonts w:ascii="Arial" w:hAnsi="Arial"/>
          <w:sz w:val="19"/>
        </w:rPr>
        <w:t xml:space="preserve">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an outside firm to pay these fees due to the USPTO and non-U.S. governmental patent agencies. The USPTO and various non-U.S. governmental patent agencies require compliance with a number of procedural, documentary, fee payment and other similar provisions during the patent application process. In the future, we may also depend on our licensors to take the necessary action to comply with these requirements with respect to our licensed intellectual property.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 </w:t>
      </w:r>
    </w:p>
    <w:p>
      <w:pPr>
        <w:pStyle w:val="TextBody"/>
        <w:bidi w:val="0"/>
        <w:spacing w:before="180" w:after="0"/>
        <w:jc w:val="left"/>
        <w:rPr>
          <w:rFonts w:ascii="Arial" w:hAnsi="Arial"/>
          <w:sz w:val="19"/>
        </w:rPr>
      </w:pPr>
      <w:r>
        <w:rPr>
          <w:rFonts w:ascii="Arial" w:hAnsi="Arial"/>
          <w:sz w:val="19"/>
        </w:rPr>
        <w:t xml:space="preserve">The USPTO and various non-U.S. government agencies require compliance with certain foreign filing requirements during the patent application process. For example, in some countries, including the United States, China, India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in that jurisdiction, resulting in the loss of patent rights in the relevant jurisdiction. Other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relevant markets with similar or identical products or technology, which could have a material adverse effect on our business, financial condition, results of operations, and prospects. In the future, we may also be dependent on licensors to take the necessary actions to comply with these requirements with respect to our in-licensed intellectual property. </w:t>
      </w:r>
    </w:p>
    <w:p>
      <w:pPr>
        <w:pStyle w:val="TextBody"/>
        <w:bidi w:val="0"/>
        <w:spacing w:before="240" w:after="0"/>
        <w:jc w:val="left"/>
        <w:rPr>
          <w:rFonts w:ascii="Arial" w:hAnsi="Arial"/>
          <w:b/>
          <w:i/>
          <w:sz w:val="19"/>
        </w:rPr>
      </w:pPr>
      <w:r>
        <w:rPr>
          <w:rFonts w:ascii="Arial" w:hAnsi="Arial"/>
          <w:b/>
          <w:i/>
          <w:sz w:val="19"/>
        </w:rPr>
        <w:t xml:space="preserve">If we are unable to protect the confidentiality of our trade secrets, our business and competitive position could be harmed. </w:t>
      </w:r>
    </w:p>
    <w:p>
      <w:pPr>
        <w:pStyle w:val="TextBody"/>
        <w:bidi w:val="0"/>
        <w:spacing w:before="40" w:after="0"/>
        <w:jc w:val="left"/>
        <w:rPr>
          <w:rFonts w:ascii="Arial" w:hAnsi="Arial"/>
          <w:sz w:val="19"/>
        </w:rPr>
      </w:pPr>
      <w:r>
        <w:rPr>
          <w:rFonts w:ascii="Arial" w:hAnsi="Arial"/>
          <w:sz w:val="19"/>
        </w:rPr>
        <w:t xml:space="preserve">In addition to seeking patent protection for our current and future product candidates, we rely on the protection of our trade secrets,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applicable agreements with each party that may have or have had access to our trade secrets or proprietary information. In addition, we cannot provide any assurances that any party thereto will not breach the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also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In addition, competitors could purchase our therapeutics, if commercialized, and attempt to replicate or improve some or all of the competitive advantages we derive from our development efforts, reverse engineer our technologies, and design their products around our protected technologies or develop their own competitive technologies that fall outside of our intellectual property rights. </w:t>
      </w:r>
    </w:p>
    <w:p>
      <w:pPr>
        <w:pStyle w:val="TextBody"/>
        <w:bidi w:val="0"/>
        <w:spacing w:before="180" w:after="0"/>
        <w:jc w:val="left"/>
        <w:rPr>
          <w:rFonts w:ascii="Arial" w:hAnsi="Arial"/>
          <w:sz w:val="19"/>
        </w:rPr>
      </w:pPr>
      <w:r>
        <w:rPr>
          <w:rFonts w:ascii="Arial" w:hAnsi="Arial"/>
          <w:sz w:val="19"/>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could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240" w:after="0"/>
        <w:jc w:val="left"/>
        <w:rPr>
          <w:rFonts w:ascii="Arial" w:hAnsi="Arial"/>
          <w:b/>
          <w:i/>
          <w:sz w:val="19"/>
        </w:rPr>
      </w:pPr>
      <w:r>
        <w:rPr>
          <w:rFonts w:ascii="Arial" w:hAnsi="Arial"/>
          <w:b/>
          <w:i/>
          <w:sz w:val="19"/>
        </w:rPr>
        <w:t xml:space="preserve">We may become subject to claims challenging the inventorship or ownership of our patents and other intellectual property. </w:t>
      </w:r>
    </w:p>
    <w:p>
      <w:pPr>
        <w:pStyle w:val="TextBody"/>
        <w:bidi w:val="0"/>
        <w:spacing w:before="40" w:after="0"/>
        <w:jc w:val="left"/>
        <w:rPr>
          <w:rFonts w:ascii="Arial" w:hAnsi="Arial"/>
          <w:sz w:val="19"/>
        </w:rPr>
      </w:pPr>
      <w:r>
        <w:rPr>
          <w:rFonts w:ascii="Arial" w:hAnsi="Arial"/>
          <w:sz w:val="19"/>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current or future product candidates or as a result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of questions regarding co-ownership of potential joint inventions. For example, we may have inventorship disputes arise from conflicting obligations of consultants or others who are involved in developing our product candidates.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before="180" w:after="0"/>
        <w:jc w:val="left"/>
        <w:rPr>
          <w:rFonts w:ascii="Arial" w:hAnsi="Arial"/>
          <w:sz w:val="19"/>
        </w:rPr>
      </w:pPr>
      <w:r>
        <w:rPr>
          <w:rFonts w:ascii="Arial" w:hAnsi="Arial"/>
          <w:sz w:val="19"/>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240" w:after="0"/>
        <w:jc w:val="left"/>
        <w:rPr>
          <w:rFonts w:ascii="Arial" w:hAnsi="Arial"/>
          <w:b/>
          <w:i/>
          <w:sz w:val="19"/>
        </w:rPr>
      </w:pPr>
      <w:r>
        <w:rPr>
          <w:rFonts w:ascii="Arial" w:hAnsi="Arial"/>
          <w:b/>
          <w:i/>
          <w:sz w:val="19"/>
        </w:rPr>
        <w:t xml:space="preserve">Patent terms may be insufficient to protect our competitive position on any current and future product candidates for an adequate amount of time. </w:t>
      </w:r>
    </w:p>
    <w:p>
      <w:pPr>
        <w:pStyle w:val="TextBody"/>
        <w:bidi w:val="0"/>
        <w:spacing w:before="40" w:after="0"/>
        <w:jc w:val="left"/>
        <w:rPr>
          <w:rFonts w:ascii="Arial" w:hAnsi="Arial"/>
          <w:sz w:val="19"/>
        </w:rPr>
      </w:pPr>
      <w:r>
        <w:rPr>
          <w:rFonts w:ascii="Arial" w:hAnsi="Arial"/>
          <w:sz w:val="19"/>
        </w:rPr>
        <w:t xml:space="preserve">Patents have a limited lifespan. In the United States, if all maintenance fees are timely paid, the natural expiration of a patent is generally 20 years from its earliest U.S. non-provisional filing date. Various patent term adjustments or extensions may be available, but the life of a patent, and the protection it affords, is limited. Even if patents covering our current or future product candidates are obtained, once the patent life has expired, we may be open to competition from competitive products, including biosimilars or interchangeables. Given the amount of time required for the development, testing and regulatory review of new product candidates, patents protecting such candidates might expire before or shortly after such candidates are commercialized. As a result, our owned patent portfolio and any future licensed patent portfolio may not provide us with sufficient rights to exclude others from commercializing products similar or identical to ours. </w:t>
      </w:r>
    </w:p>
    <w:p>
      <w:pPr>
        <w:pStyle w:val="TextBody"/>
        <w:bidi w:val="0"/>
        <w:spacing w:before="240" w:after="0"/>
        <w:jc w:val="left"/>
        <w:rPr>
          <w:rFonts w:ascii="Arial" w:hAnsi="Arial"/>
          <w:b/>
          <w:i/>
          <w:sz w:val="19"/>
        </w:rPr>
      </w:pPr>
      <w:r>
        <w:rPr>
          <w:rFonts w:ascii="Arial" w:hAnsi="Arial"/>
          <w:b/>
          <w:i/>
          <w:sz w:val="19"/>
        </w:rPr>
        <w:t xml:space="preserve">If we do not obtain patent term extension for any product candidates we may develop, our business may be harmed. </w:t>
      </w:r>
    </w:p>
    <w:p>
      <w:pPr>
        <w:pStyle w:val="TextBody"/>
        <w:bidi w:val="0"/>
        <w:spacing w:before="40" w:after="0"/>
        <w:jc w:val="left"/>
        <w:rPr>
          <w:rFonts w:ascii="Arial" w:hAnsi="Arial"/>
          <w:sz w:val="19"/>
        </w:rPr>
      </w:pPr>
      <w:r>
        <w:rPr>
          <w:rFonts w:ascii="Arial" w:hAnsi="Arial"/>
          <w:sz w:val="19"/>
        </w:rPr>
        <w:t xml:space="preserve">Depending upon the timing, duration and specifics of any FDA regulatory approval of any of our current or future product candidates we may develop and our technology, our existing U.S. patents or one or more U.S. patents that may issue in the future based on a patent application that we own or may license may be eligible for limited patent term extension under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may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If our trademarks and trade names are not adequately protected, then we may not be able to build name recognition in our markets of interest and our business may be adversely affected. </w:t>
      </w:r>
    </w:p>
    <w:p>
      <w:pPr>
        <w:pStyle w:val="TextBody"/>
        <w:bidi w:val="0"/>
        <w:spacing w:before="40" w:after="0"/>
        <w:jc w:val="left"/>
        <w:rPr>
          <w:rFonts w:ascii="Arial" w:hAnsi="Arial"/>
          <w:sz w:val="19"/>
        </w:rPr>
      </w:pPr>
      <w:r>
        <w:rPr>
          <w:rFonts w:ascii="Arial" w:hAnsi="Arial"/>
          <w:sz w:val="19"/>
        </w:rPr>
        <w:t xml:space="preserve">Our current or future registered or unregistered trademarks or trade names may be challenged, infringed, diluted, circumvented or declared generic or descriptive or determined to be infringing, misappropriating or violation on other marks. We may not be able to protect our rights to these trademarks and trade names or may be forced to stop using these names, which we need for name recognition by potential partners or customers in our markets of interest. </w:t>
      </w:r>
    </w:p>
    <w:p>
      <w:pPr>
        <w:pStyle w:val="TextBody"/>
        <w:bidi w:val="0"/>
        <w:spacing w:before="180" w:after="0"/>
        <w:jc w:val="left"/>
        <w:rPr>
          <w:rFonts w:ascii="Arial" w:hAnsi="Arial"/>
          <w:sz w:val="19"/>
        </w:rPr>
      </w:pPr>
      <w:r>
        <w:rPr>
          <w:rFonts w:ascii="Arial" w:hAnsi="Arial"/>
          <w:sz w:val="19"/>
        </w:rPr>
        <w:t xml:space="preserve">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Moreover, any name we have proposed to use with our current or future product candidates in the United States must be approved by the FDA, regardless of whether we have registered it, or applied to register it, as a trademark. Similar requirements exist in foreign jurisdictions.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Arial" w:hAnsi="Arial"/>
          <w:b/>
          <w:sz w:val="20"/>
        </w:rPr>
      </w:pPr>
      <w:r>
        <w:rPr>
          <w:rFonts w:ascii="Arial" w:hAnsi="Arial"/>
          <w:b/>
          <w:sz w:val="20"/>
        </w:rPr>
        <w:t xml:space="preserve">Risks Related to Our Reliance on Third Parties </w:t>
      </w:r>
    </w:p>
    <w:p>
      <w:pPr>
        <w:pStyle w:val="TextBody"/>
        <w:bidi w:val="0"/>
        <w:spacing w:before="240" w:after="0"/>
        <w:jc w:val="left"/>
        <w:rPr>
          <w:rFonts w:ascii="Arial" w:hAnsi="Arial"/>
          <w:b/>
          <w:i/>
          <w:sz w:val="19"/>
        </w:rPr>
      </w:pPr>
      <w:r>
        <w:rPr>
          <w:rFonts w:ascii="Arial" w:hAnsi="Arial"/>
          <w:b/>
          <w:i/>
          <w:sz w:val="19"/>
        </w:rPr>
        <w:t xml:space="preserve">We are dependent on sole source and limited source suppliers for certain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 </w:t>
      </w:r>
    </w:p>
    <w:p>
      <w:pPr>
        <w:pStyle w:val="TextBody"/>
        <w:bidi w:val="0"/>
        <w:spacing w:before="40" w:after="0"/>
        <w:jc w:val="left"/>
        <w:rPr>
          <w:rFonts w:ascii="Arial" w:hAnsi="Arial"/>
          <w:sz w:val="19"/>
        </w:rPr>
      </w:pPr>
      <w:r>
        <w:rPr>
          <w:rFonts w:ascii="Arial" w:hAnsi="Arial"/>
          <w:sz w:val="19"/>
        </w:rPr>
        <w:t xml:space="preserve">We are dependent on sole source and limited source suppliers for certain drug products, raw materials, samples, components, and other materials used in our product candidates. We believe we would be able to source these supplies from alternative suppliers without materially and adversely impacting our business. If, however, we are unable to source these supplies on a timely basis, or establish longer-term contracts with our CMOs, we will not be able to complete our clinical trials on time and the development of our product candidates may be delayed. We do not currently have long-term supply contracts with any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 Furthermore, any of the sole source and limited source suppliers upon whom we rely could stop producing our supplies, cease operations or be acquired by, or enter into exclusive arrangements with, one or more of our competitors. </w:t>
      </w:r>
    </w:p>
    <w:p>
      <w:pPr>
        <w:pStyle w:val="TextBody"/>
        <w:bidi w:val="0"/>
        <w:spacing w:before="180" w:after="0"/>
        <w:jc w:val="left"/>
        <w:rPr>
          <w:rFonts w:ascii="Arial" w:hAnsi="Arial"/>
          <w:sz w:val="19"/>
        </w:rPr>
      </w:pPr>
      <w:r>
        <w:rPr>
          <w:rFonts w:ascii="Arial" w:hAnsi="Arial"/>
          <w:sz w:val="19"/>
        </w:rPr>
        <w:t xml:space="preserve">The drug substance (DS) and drug product (DP) for our product candidates are manufactured via conventional biopharmaceutical processing procedures, employing commonly-used and commercially available excipients and packaging materials. The DS and DP are required to be manufactured in compliance with multi-jurisdictional regulatory standards including current good manufacturing practices (cGMP) and comparable foreign requirements. Additionally, our manufacturing processes for ipsoprubart and ELA822 require special equipment, and identifying additional suppliers able to fabricate such equipment at their facility at acceptable costs may be difficult.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For example, following an FDA inspection ended in March 2026, the CMO facility we utilize for drug product manufacture received an FDA Form-483 detailing several adverse manufacturing and product quality observations. The FDA ultimately classified this inspection as “Official Action Indicated” (OAI), meaning the FDA deemed this site to be in unacceptable state of compliance. We understand this facility is undergoing a remediation program that will require a facility shutdown. While we understand that the Form-483 observations were not specific to our product candidates and we have not identified any product quality concerns specific to our material, the facility will be required to undergo remedial efforts in order to lift the OAI classification, including a temporary facility shutdown, and the timeline for our CMO to resolve these inspectional issues is still uncertain. Furthermore, unless the FDA removes the OAI status from this facility, the FDA may delay approval of any BLA that includes this facility as a product manufacturing site, which could delay regulatory approval of ipsoprubart. Although we have not yet experienced any significant disruption as a result of our reliance on limited or sole source suppliers, we have a limited operating history and cannot assure you that we will not experience disruptions in our supply chain in the future as a result of such reliance or otherwise. </w:t>
      </w:r>
    </w:p>
    <w:p>
      <w:pPr>
        <w:pStyle w:val="TextBody"/>
        <w:bidi w:val="0"/>
        <w:spacing w:before="180" w:after="0"/>
        <w:jc w:val="left"/>
        <w:rPr>
          <w:rFonts w:ascii="Arial" w:hAnsi="Arial"/>
          <w:sz w:val="19"/>
        </w:rPr>
      </w:pPr>
      <w:r>
        <w:rPr>
          <w:rFonts w:ascii="Arial" w:hAnsi="Arial"/>
          <w:sz w:val="19"/>
        </w:rPr>
        <w:t xml:space="preserve">We rely, and intend to continue to rely, on third parties to conduct our clinical trials and perform some of our research and potential nonclinical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do not have the ability to independently conduct all aspects of our clinical trials ourselves. As a result, we are dependent on third parties to conduct our ongoing and planned clinical trials of ipsoprubart, ELA822, any nonclinical studies and all clinical trials of any future product candidates. The timing of the initiation and completion of these trials will therefore be partially controlled by such third parties and may result in delays to our development programs. Specifically, we expect CROs, independent clinical investigators and consultants to play a significant role in the conduct of these trials and the subsequent collection and analysis of data.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and comparable foreign regulatory authorities for product candidates in clinical development. Regulatory authorities enforce these GCP requirements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through periodic inspections of trial sponsors, clinical trial investigators and clinical trial sites. If we or any of our CROs or clinical trial sites fail to comply with applicable GCP requirements, the data generated in our clinical trials may be deemed unreliable, and the FDA or comparable foreign regulatory authorities may require us to perform additional clinical trials before approving our marketing applications. We cannot assure you that, upon inspection, the FDA or comparable foreign regulatory authorities will determine that our clinical trials comply with GCPs. In addition, our clinical trials must be conducted with materials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80" w:after="0"/>
        <w:jc w:val="left"/>
        <w:rPr>
          <w:rFonts w:ascii="Arial" w:hAnsi="Arial"/>
          <w:sz w:val="19"/>
        </w:rPr>
      </w:pPr>
      <w:r>
        <w:rPr>
          <w:rFonts w:ascii="Arial" w:hAnsi="Arial"/>
          <w:sz w:val="19"/>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in a greater cost to us. For example, we are aware of recurrent shortages of NHPs available for nonclinical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participants enrolled in such clinical trial unless we are able to transfer those participants to another qualified clinical trial site, which may be difficult or impossible. </w:t>
      </w:r>
    </w:p>
    <w:p>
      <w:pPr>
        <w:pStyle w:val="TextBody"/>
        <w:bidi w:val="0"/>
        <w:spacing w:before="180" w:after="0"/>
        <w:jc w:val="left"/>
        <w:rPr>
          <w:rFonts w:ascii="Arial" w:hAnsi="Arial"/>
          <w:sz w:val="19"/>
        </w:rPr>
      </w:pPr>
      <w:r>
        <w:rPr>
          <w:rFonts w:ascii="Arial" w:hAnsi="Arial"/>
          <w:sz w:val="19"/>
        </w:rPr>
        <w:t xml:space="preserve">In addition, 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w:t>
      </w:r>
    </w:p>
    <w:p>
      <w:pPr>
        <w:pStyle w:val="TextBody"/>
        <w:bidi w:val="0"/>
        <w:spacing w:before="180" w:after="0"/>
        <w:jc w:val="left"/>
        <w:rPr>
          <w:rFonts w:ascii="Arial" w:hAnsi="Arial"/>
          <w:sz w:val="19"/>
        </w:rPr>
      </w:pPr>
      <w:r>
        <w:rPr>
          <w:rFonts w:ascii="Arial" w:hAnsi="Arial"/>
          <w:sz w:val="19"/>
        </w:rPr>
        <w:t xml:space="preserve">Furthermore, these third parties may also have relationships with other entities, some of which may be our competitors for whom they may also be conducting clinical trials or other product candidate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 for ipsoprubart, ELA822 and any future product candidates and will not be able to, or may be delayed in our efforts to, successfully commercialize our products. </w:t>
      </w:r>
    </w:p>
    <w:p>
      <w:pPr>
        <w:pStyle w:val="TextBody"/>
        <w:bidi w:val="0"/>
        <w:spacing w:before="240" w:after="0"/>
        <w:jc w:val="left"/>
        <w:rPr>
          <w:rFonts w:ascii="Arial" w:hAnsi="Arial"/>
          <w:b/>
          <w:i/>
          <w:sz w:val="19"/>
        </w:rPr>
      </w:pPr>
      <w:r>
        <w:rPr>
          <w:rFonts w:ascii="Arial" w:hAnsi="Arial"/>
          <w:b/>
          <w:i/>
          <w:sz w:val="19"/>
        </w:rPr>
        <w:t xml:space="preserve">We rely on third parties to manufacture our product candidates and clinical product supplies and we may not be able to obtain adequate supplies at a reasonable cost or in a timely way. </w:t>
      </w:r>
    </w:p>
    <w:p>
      <w:pPr>
        <w:pStyle w:val="TextBody"/>
        <w:bidi w:val="0"/>
        <w:spacing w:before="40" w:after="0"/>
        <w:jc w:val="left"/>
        <w:rPr>
          <w:rFonts w:ascii="Arial" w:hAnsi="Arial"/>
          <w:sz w:val="19"/>
        </w:rPr>
      </w:pPr>
      <w:r>
        <w:rPr>
          <w:rFonts w:ascii="Arial" w:hAnsi="Arial"/>
          <w:sz w:val="19"/>
        </w:rPr>
        <w:t xml:space="preserve">The process of manufacturing product candidates is complex and highly regulated. We do not have any manufacturing facilities or plans to establish manufacturing capabilities in the near future. We rely, and expect to continue to rely, on third parties, including foreign manufacturers, for the manufacture of our product candidates for nonclinical and clinical testing, development purposes, to support marketing application submissions, as well as for commercial manufacture if any of our product candidates obtain regulatory approval. This reliance on third parties increases the risk that we will not have sufficient quantities of our product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product candidates are developed through nonclinical studies to late-stage clinical trials towards approval and commercialization, we are likely to alter various aspects of the development program, such as manufacturing and testing methods, to optimize processes and results, which may result in additional cost or delay. </w:t>
      </w:r>
    </w:p>
    <w:p>
      <w:pPr>
        <w:pStyle w:val="TextBody"/>
        <w:bidi w:val="0"/>
        <w:spacing w:before="180" w:after="0"/>
        <w:jc w:val="left"/>
        <w:rPr>
          <w:rFonts w:ascii="Arial" w:hAnsi="Arial"/>
          <w:sz w:val="19"/>
        </w:rPr>
      </w:pPr>
      <w:r>
        <w:rPr>
          <w:rFonts w:ascii="Arial" w:hAnsi="Arial"/>
          <w:sz w:val="19"/>
        </w:rPr>
        <w:t xml:space="preserve">We have only limited supply arrangements in place with respect to our product candidates, and these arrangements do not extend to commercial supply. We acquire many key materials on a purchase order basis. As a result, we may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have long-term committed arrangements with respect to aspects of our product candidates and other materials. We will need to establish one or more agreements with third parties to develop and scale up the drug manufacturing process, conduct testing, and generate data to support regulatory submissions, and may be unable to do so on favorable terms. If we obtain regulatory approval for any of our product candidates, we will need to establish an agreement for commercial manufacture with a third party. Even if we are able to establish agreements with third-party manufacturers, reliance on third-party manufacturers entails additional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reliance on the third party for regulatory, compliance and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reliance on the third party for product development, analytical testing, and data generation to support regulatory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comparable foreign regulatory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possible 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possible infringement, misappropriation, violation or unauthorized disclosure of our intellectual property and proprietary rights, including our trade secrets, know-how and other 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possible termination or nonrenewal of the agreement by the third party at a time that is costly or inconvenient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competition with other companies for access to manufacturing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carrier disruptions or increased costs that are beyond our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failure to deliver our products under specified storage conditions and in a timely manner. </w:t>
            </w:r>
          </w:p>
        </w:tc>
      </w:tr>
    </w:tbl>
    <w:p>
      <w:pPr>
        <w:pStyle w:val="TextBody"/>
        <w:bidi w:val="0"/>
        <w:spacing w:before="180" w:after="0"/>
        <w:jc w:val="left"/>
        <w:rPr>
          <w:rFonts w:ascii="Arial" w:hAnsi="Arial"/>
          <w:sz w:val="19"/>
        </w:rPr>
      </w:pPr>
      <w:r>
        <w:rPr>
          <w:rFonts w:ascii="Arial" w:hAnsi="Arial"/>
          <w:sz w:val="19"/>
        </w:rPr>
        <w:t xml:space="preserve">Third-party manufacturers may not be able to comply with cGMP regulations or similar regulatory requirements outside of the United States. Our CMOs, any potential future collaborators and their CMOs could be subject to periodic unannounced inspections by the FDA and other comparable foreign regulatory authorities, to monitor and ensure compliance with cGMP. Despite our efforts to audit and verify regulatory compliance, we have limited control over the ability of third-party manufacturers to maintain adequate quality control, quality assurance and qualified personnel, and one or more of our third-party manufacturing vendors may be found on regulatory inspection by the FDA or other comparable foreign regulatory authorities to be noncompliant with cGMP and comparable foreign regulations. For example, following an inspection ended in March 2026, the CMO facility we utilize for drug product manufacture received an FDA Form-483, ultimately resulting in an OAI classification. While we understand that the Form-483 observations were not specific to our product candidates, the facility will be required to undergo significant remedial efforts in order to lift the OAI classification, including a temporary facility shutdown, and there is no guarantee that our CMO will be able to resolve these inspectional issues in a timely manner. </w:t>
      </w:r>
    </w:p>
    <w:p>
      <w:pPr>
        <w:pStyle w:val="TextBody"/>
        <w:bidi w:val="0"/>
        <w:spacing w:before="180" w:after="0"/>
        <w:jc w:val="left"/>
        <w:rPr>
          <w:rFonts w:ascii="Arial" w:hAnsi="Arial"/>
          <w:sz w:val="19"/>
        </w:rPr>
      </w:pPr>
      <w:r>
        <w:rPr>
          <w:rFonts w:ascii="Arial" w:hAnsi="Arial"/>
          <w:sz w:val="19"/>
        </w:rPr>
        <w:t xml:space="preserve">If the FDA determines that our CMOs are not in compliance with FDA laws and regulations, including those governing cGMPs, the FDA may not approve a BLA until the deficiencies are corrected or we replace the manufacturer in our application with a manufacturer that is in compliance. Comparable risks apply abroad. Moreover, our failure, or the failure of our third-party manufacturers and suppliers, to comply with applicable regulations could result in sanctions being imposed on us, including clinical holds, fines, injunctions, civil penalties, seizures or recalls of product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comparable foreign requirements,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80" w:after="0"/>
        <w:jc w:val="left"/>
        <w:rPr>
          <w:rFonts w:ascii="Arial" w:hAnsi="Arial"/>
          <w:sz w:val="19"/>
        </w:rPr>
      </w:pPr>
      <w:r>
        <w:rPr>
          <w:rFonts w:ascii="Arial" w:hAnsi="Arial"/>
          <w:sz w:val="19"/>
        </w:rPr>
        <w:t xml:space="preserve">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In addition, certain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BIOSECURE Act, which was recently signed into law in December 2025 as part of the National Defense Authorization Act for FY 2026, prohibits U.S. federal agencies from procuring or obtaining biotechnology equipment or services produced or provided by a “biotechnology company of concern” (BCC); entering into, extending, or renewing government contracts with an entity that directly or indirectly (e.g., via a subcontractor) uses biotechnology equipment or services from a BCC in performance of that federal contract; and/or issuing grants or loans to purchase, obtain, or use biotechnology equipment or services produced by a BCC. The BIOSECURE Act also prohibits U.S. government loan and grant recipients from using federal loan or grant money to enter into contracts with entities that use equipment from BCCs in the performance of any federal prime contract or subcontract. Companies designated as a BCC include those that are identified on the U.S. Department of Defense’s annual List of Chinese Military Companies, also known as the 1260H List, and the U.S. Government also has the ability to designate entities as BCCs through a separate designation process. There is a safe harbor provision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the BIOSECURE Act also has carveouts for manufacture of drugs for supply under Medicaid and Medicare Part B, subject to the Secretary of Veteran Affairs’ discretion. It is unclear whether the grandfathering provision and carveouts would apply to entities designated as “biotechnology companies of concern” due to their inclusion on the 1260H List. The guidance to be issued by the Office of Management and Budget within the next year regarding implementation of the BIOSECURE Act may provide further clarity on this point. We are currently a party to agreements with WuXi Biologics (WuXi), pursuant to which WuXi provides clinical development and manufacturing services to us related to ELA822. WuXi may become designated as a “biotechnology company of concern” through periodic updates of the 1260H List, or may also be designated as such by the U.S. Government through the process outlined in the BIOSECURE Act. If this law, or similar laws that are passed impact WuXi or other Chinese biotechnology manufacturing companies that may become contractors of ours or provide biotechnology equipment or services in the manufacture of our products or product candidates, we may be restricted in our ability to work with WuXi and other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w:t>
      </w:r>
    </w:p>
    <w:p>
      <w:pPr>
        <w:pStyle w:val="TextBody"/>
        <w:bidi w:val="0"/>
        <w:spacing w:before="180" w:after="0"/>
        <w:jc w:val="left"/>
        <w:rPr>
          <w:rFonts w:ascii="Arial" w:hAnsi="Arial"/>
          <w:sz w:val="19"/>
        </w:rPr>
      </w:pPr>
      <w:r>
        <w:rPr>
          <w:rFonts w:ascii="Arial" w:hAnsi="Arial"/>
          <w:sz w:val="19"/>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80" w:after="0"/>
        <w:jc w:val="left"/>
        <w:rPr>
          <w:rFonts w:ascii="Arial" w:hAnsi="Arial"/>
          <w:sz w:val="19"/>
        </w:rPr>
      </w:pPr>
      <w:r>
        <w:rPr>
          <w:rFonts w:ascii="Arial" w:hAnsi="Arial"/>
          <w:sz w:val="19"/>
        </w:rPr>
        <w:t xml:space="preserve">Any performance failure on the part of our existing or future manufacturers could delay clinical development or regulatory approval. We do not currently have arrangements in place for redundant supply or a second source for bulk DS.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natural disasters, labor disputes, unstable political environments, or global health crises. If our current third-party manufacturers cannot perform as agreed, we may be required to replace such manufacturers and we may be unable to replace them on a timely basis or at all. </w:t>
      </w:r>
    </w:p>
    <w:p>
      <w:pPr>
        <w:pStyle w:val="TextBody"/>
        <w:bidi w:val="0"/>
        <w:spacing w:before="180" w:after="0"/>
        <w:jc w:val="left"/>
        <w:rPr>
          <w:rFonts w:ascii="Arial" w:hAnsi="Arial"/>
          <w:sz w:val="19"/>
        </w:rPr>
      </w:pPr>
      <w:r>
        <w:rPr>
          <w:rFonts w:ascii="Arial" w:hAnsi="Arial"/>
          <w:sz w:val="19"/>
        </w:rPr>
        <w:t xml:space="preserve">Our current and anticipated future dependence upon others for the manufacture of our product candidates may adversely affect our future profit margins and our ability to commercialize any products that obtain regulatory approval on a timely and competitive basis. </w:t>
      </w:r>
    </w:p>
    <w:p>
      <w:pPr>
        <w:pStyle w:val="TextBody"/>
        <w:bidi w:val="0"/>
        <w:spacing w:before="240" w:after="0"/>
        <w:jc w:val="left"/>
        <w:rPr>
          <w:rFonts w:ascii="Arial" w:hAnsi="Arial"/>
          <w:b/>
          <w:i/>
          <w:sz w:val="19"/>
        </w:rPr>
      </w:pPr>
      <w:r>
        <w:rPr>
          <w:rFonts w:ascii="Arial" w:hAnsi="Arial"/>
          <w:b/>
          <w:i/>
          <w:sz w:val="19"/>
        </w:rPr>
        <w:t xml:space="preserve">We may, in the future, seek to enter into collaborations with third parties for the discovery, development and commercialization of product candidates, if approved, and we may not be successful in doing so. If those collaborations are not successful, we may not be able to capitalize on the market potential of ipsoprubart, ELA822 or future product candidates. </w:t>
      </w:r>
    </w:p>
    <w:p>
      <w:pPr>
        <w:pStyle w:val="TextBody"/>
        <w:bidi w:val="0"/>
        <w:spacing w:before="40" w:after="0"/>
        <w:jc w:val="left"/>
        <w:rPr>
          <w:rFonts w:ascii="Arial" w:hAnsi="Arial"/>
          <w:sz w:val="19"/>
        </w:rPr>
      </w:pPr>
      <w:r>
        <w:rPr>
          <w:rFonts w:ascii="Arial" w:hAnsi="Arial"/>
          <w:sz w:val="19"/>
        </w:rPr>
        <w:t xml:space="preserve">We may seek third-party collaborators for the development and commercialization of our current or any future product candidates, if approved, on a select basis, including potentially in specific foreign jurisdictions. We have not entered into any such collaborations to date. Our likely collaborators for any future collaboration arrangements include large and mid-size biopharmaceutical companies, regional and national biopharmaceutical companies and biotechnology companies. We will face significant competition in seeking appropriate collaborators. Whether we decide to enter into any collaboration arrangement will depend, among other things, on our assessment of the future collaborator’s resources and expertise, the terms and conditions of the proposed collaboration and the proposed collaborator’s evaluation of our business. As such, there can be no assurance that we will reach a definitive agreement for a future collaboration with any third-party collaborators. </w:t>
      </w:r>
    </w:p>
    <w:p>
      <w:pPr>
        <w:pStyle w:val="TextBody"/>
        <w:bidi w:val="0"/>
        <w:spacing w:before="180" w:after="0"/>
        <w:jc w:val="left"/>
        <w:rPr>
          <w:rFonts w:ascii="Arial" w:hAnsi="Arial"/>
          <w:sz w:val="19"/>
        </w:rPr>
      </w:pPr>
      <w:r>
        <w:rPr>
          <w:rFonts w:ascii="Arial" w:hAnsi="Arial"/>
          <w:sz w:val="19"/>
        </w:rPr>
        <w:t xml:space="preserve">If we do enter into any such arrangements with any third parties, we will likely have limited control over the amount and timing of resources that our future collaborators dedicate to the development or commercialization of our current or any future product candidates. Our ability to generate revenues from these arrangements will be dependent on our future collaborators’ abilities and efforts to successfully perform the functions assigned to them in these arrangements. Collaborations with future collaborators involving our current or any future product candidates would pose numerous risks to us,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collaborators have significant discretion in determining the efforts and resources that they will apply to these collaborations and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collaborators may de-emphasize or not pursue development and commercialization of our current or any future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could independently develop, or develop with third parties, products that compete directly or indirectly with our current or any future product candidates if the collaborators believe that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collaborator with marketing and distribution rights to multiple products may not commit sufficient resources to the marketing and distribution of our product, if approved, relative to other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disputes may arise between the collaborators and us,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any of which could result in the delay or termination of the research, development or, if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19"/>
              </w:rPr>
            </w:pPr>
            <w:r>
              <w:rPr>
                <w:rFonts w:ascii="Arial" w:hAnsi="Arial"/>
                <w:sz w:val="19"/>
              </w:rPr>
              <w:t xml:space="preserve">approved, commercialization of our current or any future product candidates or that result in costly litigation or arbitration that diverts management attention and resources and in turn could prevent us from generating revenue and limit or prevent us from entering into additional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collaborations may be terminated and, if terminated, may result in a need for additional capital to pursue further development or, if approved, commercialization of the applicable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collaboration agreements may not lead to development or, if approved, commercialization of product candidates in the most efficient manner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if a future collaborator of ours were to be involved in a business combination, the continued pursuit and emphasis on our product development or, if approved, commercialization program could be delayed, diminished or terminated. </w:t>
            </w:r>
          </w:p>
        </w:tc>
      </w:tr>
    </w:tbl>
    <w:p>
      <w:pPr>
        <w:pStyle w:val="TextBody"/>
        <w:bidi w:val="0"/>
        <w:spacing w:before="180" w:after="0"/>
        <w:jc w:val="left"/>
        <w:rPr>
          <w:rFonts w:ascii="Arial" w:hAnsi="Arial"/>
          <w:sz w:val="19"/>
        </w:rPr>
      </w:pPr>
      <w:r>
        <w:rPr>
          <w:rFonts w:ascii="Arial" w:hAnsi="Arial"/>
          <w:sz w:val="19"/>
        </w:rPr>
        <w:t xml:space="preserve">If we establish one or more collaborations, all of the risks relating to product development, regulatory approval and, if approved, commercialization described above would also apply to the activities of any such future collaborators. </w:t>
      </w:r>
    </w:p>
    <w:p>
      <w:pPr>
        <w:pStyle w:val="TextBody"/>
        <w:bidi w:val="0"/>
        <w:spacing w:before="240" w:after="0"/>
        <w:jc w:val="left"/>
        <w:rPr>
          <w:rFonts w:ascii="Arial" w:hAnsi="Arial"/>
          <w:b/>
          <w:sz w:val="20"/>
        </w:rPr>
      </w:pPr>
      <w:r>
        <w:rPr>
          <w:rFonts w:ascii="Arial" w:hAnsi="Arial"/>
          <w:b/>
          <w:sz w:val="20"/>
        </w:rPr>
        <w:t xml:space="preserve">Risks Related to Government Regulation </w:t>
      </w:r>
    </w:p>
    <w:p>
      <w:pPr>
        <w:pStyle w:val="TextBody"/>
        <w:bidi w:val="0"/>
        <w:spacing w:before="240" w:after="0"/>
        <w:jc w:val="left"/>
        <w:rPr>
          <w:rFonts w:ascii="Arial" w:hAnsi="Arial"/>
          <w:b/>
          <w:i/>
          <w:sz w:val="19"/>
        </w:rPr>
      </w:pPr>
      <w:r>
        <w:rPr>
          <w:rFonts w:ascii="Arial" w:hAnsi="Arial"/>
          <w:b/>
          <w:i/>
          <w:sz w:val="19"/>
        </w:rPr>
        <w:t xml:space="preserve">The regulatory approval process is highly uncertain, and we may be unable to obtain, or may be delayed in obtaining, U.S. or foreign regulatory approval and, as a result, unable to commercialize ipsoprubart, ELA822 and any future product candidates. Even if we believe our current, or planned clinical trials are successful, regulatory authorities may not agree that they provide adequate data on safety or efficacy. </w:t>
      </w:r>
    </w:p>
    <w:p>
      <w:pPr>
        <w:pStyle w:val="TextBody"/>
        <w:bidi w:val="0"/>
        <w:spacing w:before="40" w:after="0"/>
        <w:jc w:val="left"/>
        <w:rPr>
          <w:rFonts w:ascii="Arial" w:hAnsi="Arial"/>
          <w:sz w:val="19"/>
        </w:rPr>
      </w:pPr>
      <w:r>
        <w:rPr>
          <w:rFonts w:ascii="Arial" w:hAnsi="Arial"/>
          <w:sz w:val="19"/>
        </w:rPr>
        <w:t xml:space="preserve">Ipsoprubart, ELA822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nonclinical testing and clinical trials and an extensive regulatory approval process are required to be completed successfully in the United States and in many foreign jurisdictions before a new biopharmaceutical product can be marketed. Satisfaction of these and other regulatory requirements is costly, time consuming, uncertain and subject to unanticipated delays. It is possible that none of the product candidates we may develop will obtain the regulatory approvals necessary for us to begin selling them. </w:t>
      </w:r>
    </w:p>
    <w:p>
      <w:pPr>
        <w:pStyle w:val="TextBody"/>
        <w:bidi w:val="0"/>
        <w:spacing w:before="180" w:after="0"/>
        <w:jc w:val="left"/>
        <w:rPr>
          <w:rFonts w:ascii="Arial" w:hAnsi="Arial"/>
          <w:sz w:val="19"/>
        </w:rPr>
      </w:pPr>
      <w:r>
        <w:rPr>
          <w:rFonts w:ascii="Arial" w:hAnsi="Arial"/>
          <w:sz w:val="19"/>
        </w:rPr>
        <w:t xml:space="preserve">In the U.S., we are not permitted to market our product candidates in the U.S. until we receive regulatory approval of a BLA from the FDA. 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in the U.S., that such product candidates are safe, pure, and potent for their intended uses. The time required to obtain FDA and other approvals is unpredictable but typically takes many years following the commencement of clinical trials, depending on the type, complexity and novelty of the product candidate. The standards that the FDA and its foreign counterparts use when regulating us require judgment and can change, which makes it difficult to predict with certainty their application. Any analysis we perform of data from nonclinical and clinical activities is subject to confirmation and interpretation by regulatory authorities, which could delay, limit or prevent regulatory approval. Even if we believe available nonclinical or clinical data support the safety purity, potency or efficacy of our product candidates, such data may not be sufficient to obtain approval from the FDA and comparable foreign regulatory authorities. The FDA or comparable foreign regulatory authorities, as the case may be, may also require us to conduct additional nonclinical studies or clinical trials for our product candidates either prior to or post-approval, or may object to elements of our clinical development program. </w:t>
      </w:r>
    </w:p>
    <w:p>
      <w:pPr>
        <w:pStyle w:val="TextBody"/>
        <w:bidi w:val="0"/>
        <w:spacing w:before="180" w:after="0"/>
        <w:jc w:val="left"/>
        <w:rPr>
          <w:rFonts w:ascii="Arial" w:hAnsi="Arial"/>
          <w:sz w:val="19"/>
        </w:rPr>
      </w:pPr>
      <w:r>
        <w:rPr>
          <w:rFonts w:ascii="Arial" w:hAnsi="Arial"/>
          <w:sz w:val="19"/>
        </w:rPr>
        <w:t xml:space="preserve">The FDA or comparable foreign regulatory authorities can delay, limit or deny approval of a product candidate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the design or execution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negative or ambiguous results from our clinical trials or results may not meet the level of statistical significance or persuasiveness required by the FDA or comparable foreign regulatory agencies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serious and unexpected drug-related side effects may be experienced by patients in our clinical trials or by individuals using drugs similar to our product candidates;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population studied in the clinical trial may not be sufficiently broad or representative to assure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not accept clinical data from trials that are conducted at clinical facilities or in countries where the standard of care (SOC) is potentially different from that of their own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our interpretation of data from nonclinical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nonclinical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such authorities may disagree with us regarding the formulation, labeling and/or the product specifications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approval may be granted only for indications that are significantly more limited than those sought by us, and/or may include significant restrictions on distribution and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such authorities may find deficiencies in the manufacturing processes or facilities of the third-party manufacturers with which we contract for clinical and commercial supplies;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such authorities may not accept a submission due to, among other reasons, the content or formatting of the submission. </w:t>
            </w:r>
          </w:p>
        </w:tc>
      </w:tr>
    </w:tbl>
    <w:p>
      <w:pPr>
        <w:pStyle w:val="TextBody"/>
        <w:bidi w:val="0"/>
        <w:spacing w:before="180" w:after="0"/>
        <w:jc w:val="left"/>
        <w:rPr>
          <w:rFonts w:ascii="Arial" w:hAnsi="Arial"/>
          <w:sz w:val="19"/>
        </w:rPr>
      </w:pPr>
      <w:r>
        <w:rPr>
          <w:rFonts w:ascii="Arial" w:hAnsi="Arial"/>
          <w:sz w:val="19"/>
        </w:rPr>
        <w:t xml:space="preserve">In addition, the approval policies or regulations of the FDA and other comparable regulatory authorities in other jurisdictions may change in a manner rendering our clinical data insufficient for approval. 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on the labeling or other restrictions. </w:t>
      </w:r>
    </w:p>
    <w:p>
      <w:pPr>
        <w:pStyle w:val="TextBody"/>
        <w:bidi w:val="0"/>
        <w:spacing w:before="180" w:after="0"/>
        <w:jc w:val="left"/>
        <w:rPr>
          <w:rFonts w:ascii="Arial" w:hAnsi="Arial"/>
          <w:sz w:val="19"/>
        </w:rPr>
      </w:pPr>
      <w:r>
        <w:rPr>
          <w:rFonts w:ascii="Arial" w:hAnsi="Arial"/>
          <w:sz w:val="19"/>
        </w:rPr>
        <w:t xml:space="preserve">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In the European Union (EU) and the United Kingdom, approval pathways, procedural timetables and post-authorization requirements may differ from those in the United States and may require separate national, centralized or other jurisdiction-specific processes, which may increase uncertainty, cost and delay. </w:t>
      </w:r>
    </w:p>
    <w:p>
      <w:pPr>
        <w:pStyle w:val="TextBody"/>
        <w:bidi w:val="0"/>
        <w:spacing w:before="180" w:after="0"/>
        <w:jc w:val="left"/>
        <w:rPr>
          <w:rFonts w:ascii="Arial" w:hAnsi="Arial"/>
          <w:sz w:val="19"/>
        </w:rPr>
      </w:pPr>
      <w:r>
        <w:rPr>
          <w:rFonts w:ascii="Arial" w:hAnsi="Arial"/>
          <w:sz w:val="19"/>
        </w:rPr>
        <w:t xml:space="preserve">Moreover, the time required to obtain approval may differ from that required to obtain FDA approval. Obtaining regulatory approval outside of the United States, including in the EU, is a lengthy and expensive process. To obtain marketing authorization from the European Commission through the centralized procedure, following the opinion of the EMA, for any product candidate, we would need to submit a Marketing Authorization Application (MAA) and satisfy extensive requirements regarding safety, efficacy, and quality. Even if a product candidate receives a marketing authorization, the European Commission or EMA may limit the indications for which the product may be marketed, require extensive warnings on the product labeling, or require expensive and time-consuming post-authorization studies or reporting as conditions of approval. Failure to obtain or maintain marketing authorization in the EU could limit our commercial opportunity and materially harm our business. FDA approval does not ensure approval by regulatory authorities outside the United States and vice versa. Any delay or failure to obtain United States or foreign regulatory approval for a product candidate could have a material and adverse effect on our business, financial condition, results of operations, and prospects. </w:t>
      </w:r>
    </w:p>
    <w:p>
      <w:pPr>
        <w:pStyle w:val="TextBody"/>
        <w:bidi w:val="0"/>
        <w:spacing w:before="220" w:after="0"/>
        <w:jc w:val="left"/>
        <w:rPr>
          <w:rFonts w:ascii="Arial" w:hAnsi="Arial"/>
          <w:b/>
          <w:i/>
          <w:sz w:val="19"/>
        </w:rPr>
      </w:pPr>
      <w:r>
        <w:rPr>
          <w:rFonts w:ascii="Arial" w:hAnsi="Arial"/>
          <w:b/>
          <w:i/>
          <w:sz w:val="19"/>
        </w:rPr>
        <w:t xml:space="preserve">We may not be able to obtain or maintain orphan drug designations for any of our product candidates, and we may be unable to maintain the benefits associated with orphan drug designation, including the potential for market exclusivity. </w:t>
      </w:r>
    </w:p>
    <w:p>
      <w:pPr>
        <w:pStyle w:val="TextBody"/>
        <w:bidi w:val="0"/>
        <w:spacing w:before="220" w:after="0"/>
        <w:jc w:val="left"/>
        <w:rPr>
          <w:rFonts w:ascii="Arial" w:hAnsi="Arial"/>
          <w:sz w:val="19"/>
        </w:rPr>
      </w:pPr>
      <w:r>
        <w:rPr>
          <w:rFonts w:ascii="Arial" w:hAnsi="Arial"/>
          <w:sz w:val="19"/>
        </w:rPr>
        <w:t xml:space="preserve">Regulatory authorities in some jurisdictions, including the United States, may designate drugs or biologics for relatively small patient populations as orphan drugs. Under the Orphan Drug Act, as amended, the FDA may designate a drug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biologic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or BLA, to market the same product for the same approved indication or use within the relevant rare disease or condition for seven years, except in limited circumstances, such as a showing of clinical superiority to the product with orphan drug exclusivity within the relevant indication or use or where the manufacturer is unable to assure sufficient product quantity to meet the needs relating to the approved indication or use of patients with the orphan disease or condition. </w:t>
      </w:r>
    </w:p>
    <w:p>
      <w:pPr>
        <w:pStyle w:val="TextBody"/>
        <w:bidi w:val="0"/>
        <w:spacing w:before="180" w:after="0"/>
        <w:jc w:val="left"/>
        <w:rPr>
          <w:rFonts w:ascii="Arial" w:hAnsi="Arial"/>
          <w:sz w:val="19"/>
        </w:rPr>
      </w:pPr>
      <w:r>
        <w:rPr>
          <w:rFonts w:ascii="Arial" w:hAnsi="Arial"/>
          <w:sz w:val="19"/>
        </w:rPr>
        <w:t xml:space="preserve">In October 2024, the FDA granted orphan drug designation to ipsoprubart for the treatment of patients with HLH. If ipsoprubart receives regulatory approval for an indication broader than HLH, ipsoprubart may no longer be eligible for orphan exclusivity. In addition, we may seek orphan drug designations for our other product candidates, but there can be no assurances that we will be able to obtain such designations. Even if we obtain orphan drug designation for a product candidate, we may not be able to obtain orphan drug exclusivity for that product candidate, if approved. Further, even if we obtain orphan drug exclusivity for a product, that exclusivity may not effectively protect the product from competition because different drugs can be approved for the same indications and uses. Even after an orphan drug is approved, the FDA can subsequently approve the “same drug,” as defined by FDA, for the same indication or use if the FDA concludes that the later drug is clinically superior because it is shown to be safer, more effective or makes a major contribution to patient care within the exclusivity-protected indication. Orphan drug exclusivity in the United States may also be lost if the FDA later determines that the initial request for designation was materially defective. In addition, orphan drug exclusivity does not prevent the FDA from approving competing drugs containing different active ingredients for the same or similar indication. If a subsequent drug is approved for marketing for the same or a similar indication or use as any of our product candidates that receive regulatory approval, we may face increased competition and lose market share regardless of orphan drug exclusivity. Orphan drug designation neither shortens the development time nor regulatory review time of a drug or biologic nor gives the drug or biologic any advantage in the regulatory review or approval process. </w:t>
      </w:r>
    </w:p>
    <w:p>
      <w:pPr>
        <w:pStyle w:val="TextBody"/>
        <w:bidi w:val="0"/>
        <w:spacing w:before="220" w:after="0"/>
        <w:jc w:val="left"/>
        <w:rPr>
          <w:rFonts w:ascii="Arial" w:hAnsi="Arial"/>
          <w:b/>
          <w:i/>
          <w:sz w:val="19"/>
        </w:rPr>
      </w:pPr>
      <w:r>
        <w:rPr>
          <w:rFonts w:ascii="Arial" w:hAnsi="Arial"/>
          <w:b/>
          <w:i/>
          <w:sz w:val="19"/>
        </w:rPr>
        <w:t xml:space="preserve">A Fast Track Designation from the FDA,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before="220" w:after="0"/>
        <w:jc w:val="left"/>
        <w:rPr>
          <w:rFonts w:ascii="Arial" w:hAnsi="Arial"/>
          <w:sz w:val="19"/>
        </w:rPr>
      </w:pPr>
      <w:r>
        <w:rPr>
          <w:rFonts w:ascii="Arial" w:hAnsi="Arial"/>
          <w:sz w:val="19"/>
        </w:rPr>
        <w:t xml:space="preserve">In October 2024, the FDA granted Fast Track designation for ipsoprubart for the treatment of sHLH. Depending on the data from our nonclinical studies and clinical trials, we may decide to seek such designation for some or all of our other product candidates. The Fast Track program is intended to expedite or facilitate the process for reviewing product candidates that meet certain criteria. Specifically, drugs and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 </w:t>
      </w:r>
    </w:p>
    <w:p>
      <w:pPr>
        <w:pStyle w:val="TextBody"/>
        <w:bidi w:val="0"/>
        <w:spacing w:before="180" w:after="0"/>
        <w:jc w:val="left"/>
        <w:rPr>
          <w:rFonts w:ascii="Arial" w:hAnsi="Arial"/>
          <w:sz w:val="19"/>
        </w:rPr>
      </w:pPr>
      <w:r>
        <w:rPr>
          <w:rFonts w:ascii="Arial" w:hAnsi="Arial"/>
          <w:sz w:val="19"/>
        </w:rPr>
        <w:t xml:space="preserve">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ipsoprubart or any other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product candidate that may be granted Fast Track designation will receive regulatory approval in the U.S. Many product candidates that have received Fast Track Designation have ultimately failed to obtain approval. </w:t>
      </w:r>
    </w:p>
    <w:p>
      <w:pPr>
        <w:pStyle w:val="TextBody"/>
        <w:bidi w:val="0"/>
        <w:spacing w:before="240" w:after="0"/>
        <w:jc w:val="left"/>
        <w:rPr>
          <w:rFonts w:ascii="Arial" w:hAnsi="Arial"/>
          <w:b/>
          <w:i/>
          <w:sz w:val="19"/>
        </w:rPr>
      </w:pPr>
      <w:r>
        <w:rPr>
          <w:rFonts w:ascii="Arial" w:hAnsi="Arial"/>
          <w:b/>
          <w:i/>
          <w:sz w:val="19"/>
        </w:rPr>
        <w:t xml:space="preserve">A Breakthrough Therapy Designation by the FDA or PRIME designation by the EMA,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before="40" w:after="0"/>
        <w:jc w:val="left"/>
        <w:rPr>
          <w:rFonts w:ascii="Arial" w:hAnsi="Arial"/>
          <w:sz w:val="19"/>
        </w:rPr>
      </w:pPr>
      <w:r>
        <w:rPr>
          <w:rFonts w:ascii="Arial" w:hAnsi="Arial"/>
          <w:sz w:val="19"/>
        </w:rPr>
        <w:t xml:space="preserve">The FDA has granted Breakthrough Therapy Designation for ipsoprubart for the treatment of sHLH, and the EMA has granted PRIME designation for ipsoprubart for the treatment of sHLH, and, in the future, we may seek Breakthrough Therapy Designation or PRIME designation for our other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with respect to one or more clinically significant endpoints, such as substantial treatment effects observed early in clinical development. For product candidates that have been designated as Breakthrough Therapies, interaction and communication between the FDA and the sponsor can help to identify the most efficient path for development. Breakthrough Therapy designation comes with the benefits of Fast Track designation, which means that the sponsor may submit sections of the NDA or BLA for review on a rolling basis, provided certain conditions are met. The FDA has broad discretion whether or not to grant this designation. </w:t>
      </w:r>
    </w:p>
    <w:p>
      <w:pPr>
        <w:pStyle w:val="TextBody"/>
        <w:bidi w:val="0"/>
        <w:spacing w:before="180" w:after="0"/>
        <w:jc w:val="left"/>
        <w:rPr>
          <w:rFonts w:ascii="Arial" w:hAnsi="Arial"/>
          <w:sz w:val="19"/>
        </w:rPr>
      </w:pPr>
      <w:r>
        <w:rPr>
          <w:rFonts w:ascii="Arial" w:hAnsi="Arial"/>
          <w:sz w:val="19"/>
        </w:rPr>
        <w:t xml:space="preserve">PRIME is a program launched by the EMA that provides early, proactive, and enhanced scientific and regulatory support for medicines under development that target an unmet medical need and are expected to be of major public health interest. This regulatory program offers enhanced interaction and early dialogue with the EMA and is designed to optimize development plans and speed evaluation ensuring these medicines reach patients as early as possible.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 The EMA has broad discretion whether or not to grant this designation. </w:t>
      </w:r>
    </w:p>
    <w:p>
      <w:pPr>
        <w:pStyle w:val="TextBody"/>
        <w:bidi w:val="0"/>
        <w:spacing w:before="180" w:after="0"/>
        <w:jc w:val="left"/>
        <w:rPr>
          <w:rFonts w:ascii="Arial" w:hAnsi="Arial"/>
          <w:sz w:val="19"/>
        </w:rPr>
      </w:pPr>
      <w:r>
        <w:rPr>
          <w:rFonts w:ascii="Arial" w:hAnsi="Arial"/>
          <w:sz w:val="19"/>
        </w:rPr>
        <w:t xml:space="preserve">Even if we believe a particular product candidate is eligible for these designations, we cannot assure you that the FDA or EMA would decide to grant them. Breakthrough Therapy and PRIME designations may not result in a faster development process, review or approval compared to conventional FDA or EMA procedures, respectively. In addition, the FDA may withdraw Breakthrough Therapy Designation if it believes that the designation is no longer supported by data from our clinical development program. The Breakthrough Therapy and PRIME designations do not assure ultimate regulatory approval by the FDA or the European Commission. Many drugs and biologics that have received Breakthrough Therapy or PRIME designation have failed to obtain approval. </w:t>
      </w:r>
    </w:p>
    <w:p>
      <w:pPr>
        <w:pStyle w:val="TextBody"/>
        <w:bidi w:val="0"/>
        <w:spacing w:before="240" w:after="0"/>
        <w:jc w:val="left"/>
        <w:rPr>
          <w:rFonts w:ascii="Arial" w:hAnsi="Arial"/>
          <w:b/>
          <w:i/>
          <w:sz w:val="19"/>
        </w:rPr>
      </w:pPr>
      <w:r>
        <w:rPr>
          <w:rFonts w:ascii="Arial" w:hAnsi="Arial"/>
          <w:b/>
          <w:i/>
          <w:sz w:val="19"/>
        </w:rPr>
        <w:t xml:space="preserve">We may be unable to maintain the benefits associated with our EU orphan designation, including orphan market exclusivity, which could limit the commercial prospects of our product candidates. </w:t>
      </w:r>
    </w:p>
    <w:p>
      <w:pPr>
        <w:pStyle w:val="TextBody"/>
        <w:bidi w:val="0"/>
        <w:spacing w:before="40" w:after="0"/>
        <w:jc w:val="left"/>
        <w:rPr>
          <w:rFonts w:ascii="Arial" w:hAnsi="Arial"/>
          <w:sz w:val="19"/>
        </w:rPr>
      </w:pPr>
      <w:r>
        <w:rPr>
          <w:rFonts w:ascii="Arial" w:hAnsi="Arial"/>
          <w:sz w:val="19"/>
        </w:rPr>
        <w:t xml:space="preserve">We have received orphan designation in the EU for one or more of our product candidates. Orphan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during which competent authorities cannot accept another marketing authorization application or accept an application to extend for a similar product or cannot grant a marketing authorization for the same indication. However, orphan market exclusivity may be reduced to six years if, at the end of the fifth year, it is established that our product no longer meets the orphan designation criteria, including where it is determined that the product is sufficiently profitable not to justify maintenance of market exclusivity, or where the prevalence of the condition has increased above the threshold. Additionally, a marketing authorization may be granted to a similar product for the same indication during the ten-year period if another applicant can establish that its product is safer, more effective or otherwise clinically superior to ours. We cannot guarantee that we will maintain our orphan designation or benefit from the full period of market exclusivity, and any loss or reduction of such exclusivity could materially and adversely affect our commercial prospects in the EU. </w:t>
      </w:r>
    </w:p>
    <w:p>
      <w:pPr>
        <w:pStyle w:val="TextBody"/>
        <w:bidi w:val="0"/>
        <w:spacing w:before="240" w:after="0"/>
        <w:jc w:val="left"/>
        <w:rPr>
          <w:rFonts w:ascii="Arial" w:hAnsi="Arial"/>
          <w:b/>
          <w:i/>
          <w:sz w:val="19"/>
        </w:rPr>
      </w:pPr>
      <w:r>
        <w:rPr>
          <w:rFonts w:ascii="Arial" w:hAnsi="Arial"/>
          <w:b/>
          <w:i/>
          <w:sz w:val="19"/>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40" w:after="0"/>
        <w:jc w:val="left"/>
        <w:rPr>
          <w:rFonts w:ascii="Arial" w:hAnsi="Arial"/>
          <w:sz w:val="19"/>
        </w:rPr>
      </w:pPr>
      <w:r>
        <w:rPr>
          <w:rFonts w:ascii="Arial" w:hAnsi="Arial"/>
          <w:sz w:val="19"/>
        </w:rPr>
        <w:t xml:space="preserve">Obtaining and maintaining regulatory approval of our product candidates in one jurisdiction does not guarantee that we will be able to obtain or maintain regulatory approval in any other jurisdiction. For example, even if the FDA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European Commission grants regulatory approval of a product candidate, comparable regulatory authorities in foreign jurisdictions must also approve the manufacturing, marketing and promotion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pricing and reimbursement approvals or decisions are separate from marketing authorization and may be required before a product can achieve broad commercial uptake in that jurisdiction. In some cases, the price that we intend to charge for our products is also subject to approval. 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regulatory approvals, our target market will be reduced and our ability to realize the full market potential of our product candidates will be harmed. </w:t>
      </w:r>
    </w:p>
    <w:p>
      <w:pPr>
        <w:pStyle w:val="TextBody"/>
        <w:bidi w:val="0"/>
        <w:spacing w:before="240" w:after="0"/>
        <w:jc w:val="left"/>
        <w:rPr>
          <w:rFonts w:ascii="Arial" w:hAnsi="Arial"/>
          <w:b/>
          <w:i/>
          <w:sz w:val="19"/>
        </w:rPr>
      </w:pPr>
      <w:r>
        <w:rPr>
          <w:rFonts w:ascii="Arial" w:hAnsi="Arial"/>
          <w:b/>
          <w:i/>
          <w:sz w:val="19"/>
        </w:rPr>
        <w:t xml:space="preserve">Even if we receive regulatory approval for ipsoprubart, ELA822 and any future product candidates, we will be subject to ongoing regulatory obligations and continued regulatory review, which may result in significant additional expense. Additionally, ipsoprubart, ELA822 and any future product candidates, if approved, could be subject to labeling and other restrictions and market withdrawal. We may also be subject to penalties if we fail to comply with regulatory requirements or experience unanticipated problems with our products. </w:t>
      </w:r>
    </w:p>
    <w:p>
      <w:pPr>
        <w:pStyle w:val="TextBody"/>
        <w:bidi w:val="0"/>
        <w:spacing w:before="40" w:after="0"/>
        <w:jc w:val="left"/>
        <w:rPr>
          <w:rFonts w:ascii="Arial" w:hAnsi="Arial"/>
          <w:sz w:val="19"/>
        </w:rPr>
      </w:pPr>
      <w:r>
        <w:rPr>
          <w:rFonts w:ascii="Arial" w:hAnsi="Arial"/>
          <w:sz w:val="19"/>
        </w:rPr>
        <w:t xml:space="preserve">Any regulatory approvals that we obtain for ipsoprubart, ELA822 or any of our future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In addition, if the FDA or other comparable foreign regulatory authorities approve any of our future product candidates, the manufacturing processes, labeling, packaging, distribution, post-approval monitoring, pharmacovigilance obligations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The manufacturing facilities we use to make future product candidates, if any, will also be subject to periodic review and inspection by the FDA or other comparable foreign regulatory authorities, including for continued compliance with cGMP and comparable foreign requirements. The discovery of any new or previously unknown problems with our CMOs, manufacturing processes or facilities may result in restrictions on the product, manufacturer or facility, including withdrawal of the product from the market. If we rely on CMOs, we will not have control over compliance with applicable rules and regulations by such manufacturers. </w:t>
      </w:r>
    </w:p>
    <w:p>
      <w:pPr>
        <w:pStyle w:val="TextBody"/>
        <w:bidi w:val="0"/>
        <w:spacing w:before="180" w:after="0"/>
        <w:jc w:val="left"/>
        <w:rPr>
          <w:rFonts w:ascii="Arial" w:hAnsi="Arial"/>
          <w:sz w:val="19"/>
        </w:rPr>
      </w:pPr>
      <w:r>
        <w:rPr>
          <w:rFonts w:ascii="Arial" w:hAnsi="Arial"/>
          <w:sz w:val="19"/>
        </w:rPr>
        <w:t xml:space="preserve">If we or our manufacturers or service providers fail to comply with applicable continuing regulatory requirements in the United States or foreign jurisdictions in which we seek to market our products, we or they may be subject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warning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refusal of the FDA or comparable foreign regulatory authorities to accept new marketing applications or approve pending applications or supplements to approved applications, or suspension, variation or revocation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injunctions or the imposition of fines or civil or criminal penalties. </w:t>
            </w:r>
          </w:p>
        </w:tc>
      </w:tr>
    </w:tbl>
    <w:p>
      <w:pPr>
        <w:pStyle w:val="TextBody"/>
        <w:bidi w:val="0"/>
        <w:spacing w:before="180" w:after="0"/>
        <w:jc w:val="left"/>
        <w:rPr>
          <w:rFonts w:ascii="Arial" w:hAnsi="Arial"/>
          <w:sz w:val="19"/>
        </w:rPr>
      </w:pPr>
      <w:r>
        <w:rPr>
          <w:rFonts w:ascii="Arial" w:hAnsi="Arial"/>
          <w:sz w:val="19"/>
        </w:rPr>
        <w:t xml:space="preserve">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 </w:t>
      </w:r>
    </w:p>
    <w:p>
      <w:pPr>
        <w:pStyle w:val="TextBody"/>
        <w:bidi w:val="0"/>
        <w:spacing w:before="180" w:after="0"/>
        <w:jc w:val="left"/>
        <w:rPr>
          <w:rFonts w:ascii="Arial" w:hAnsi="Arial"/>
          <w:sz w:val="19"/>
        </w:rPr>
      </w:pPr>
      <w:r>
        <w:rPr>
          <w:rFonts w:ascii="Arial" w:hAnsi="Arial"/>
          <w:sz w:val="19"/>
        </w:rPr>
        <w:t xml:space="preserve">Subsequent discovery of previously unknown problems with a product, including adverse events of unanticipated severity or frequency, or with our CMOs or manufacturing processes, or failure to comply with regulatory requirements, may result in, these same consequences. </w:t>
      </w:r>
    </w:p>
    <w:p>
      <w:pPr>
        <w:pStyle w:val="TextBody"/>
        <w:bidi w:val="0"/>
        <w:spacing w:before="240" w:after="0"/>
        <w:jc w:val="left"/>
        <w:rPr>
          <w:rFonts w:ascii="Arial" w:hAnsi="Arial"/>
          <w:b/>
          <w:i/>
          <w:sz w:val="19"/>
        </w:rPr>
      </w:pPr>
      <w:r>
        <w:rPr>
          <w:rFonts w:ascii="Arial" w:hAnsi="Arial"/>
          <w:b/>
          <w:i/>
          <w:sz w:val="19"/>
        </w:rPr>
        <w:t xml:space="preserve">Our programs for which we intend to seek approval as biologics may face competition sooner than anticipated. </w:t>
      </w:r>
    </w:p>
    <w:p>
      <w:pPr>
        <w:pStyle w:val="TextBody"/>
        <w:bidi w:val="0"/>
        <w:spacing w:before="40" w:after="0"/>
        <w:jc w:val="left"/>
        <w:rPr>
          <w:rFonts w:ascii="Arial" w:hAnsi="Arial"/>
          <w:sz w:val="19"/>
        </w:rPr>
      </w:pPr>
      <w:r>
        <w:rPr>
          <w:rFonts w:ascii="Arial" w:hAnsi="Arial"/>
          <w:sz w:val="19"/>
        </w:rPr>
        <w:t xml:space="preserve">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biosimilar to or interchangeable with an FDA-licensed reference biological product. Biosimilars are biological products licensed under section 351(k) of the Public Health Service Act (PHS Act) relying on the FDA’s findings of safety, purity, and potency for a licensed biologic (Reference Product) submitted pursuant to section 351(a) of the PHS Act. A biosimilar is highly similar to its Reference Product, excluding minor differences in clinically inactive components for which there are no clinically meaningful differences between the proposed biological product and the Reference Product in safety, purity, or potency. Certain biosimilars that have been designated by FDA as interchangeable may be substituted for the Reference Product in accordance with state law. Under the BPCIA, an application for a biosimilar or interchangeable product relying on the Reference Product may not be submitted to the FDA until four years following the date that the Reference Product was first approved by the FDA. In addition, the approval of a biosimilar product relying on the Reference Product may not be made effective by the FDA until 12 years from the date on which the Reference Product was first approved. During this 12-year period of non-patent data exclusivity, another company may still develop and receive approval of a competing version of the Reference Product if the FDA approves a full BLA for the competing product containing the sponsor’s own nonclinical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and any new policies or processes adopted by the FDA could have a material effect on the future commercial prospects for our biological product candidates. </w:t>
      </w:r>
    </w:p>
    <w:p>
      <w:pPr>
        <w:pStyle w:val="TextBody"/>
        <w:bidi w:val="0"/>
        <w:spacing w:before="180" w:after="0"/>
        <w:jc w:val="left"/>
        <w:rPr>
          <w:rFonts w:ascii="Arial" w:hAnsi="Arial"/>
          <w:sz w:val="19"/>
        </w:rPr>
      </w:pPr>
      <w:r>
        <w:rPr>
          <w:rFonts w:ascii="Arial" w:hAnsi="Arial"/>
          <w:sz w:val="19"/>
        </w:rPr>
        <w:t xml:space="preserve">We believe that any of our current programs we develop that is approved as biologic under a BLA should qualify for the 12-year period of exclusivity. However, there is a risk that this exclusivity could be shortened due to congressional action or otherwise, or that the FDA will not consider our programs to be Reference Products for competing products, potentially creating the opportunity for biosimilar competition sooner than anticipated. Moreover, the extent to which a biosimilar, once approved, will be substituted for any Reference Product in a way that is similar to traditional generic substitution for non-biological products is not yet clear, and will depend on a number of marketplace and regulatory factors that are still developing. The approval of a biosimilar of our current or future product candidates could have a material adverse impact on our business due to increased competition and pricing pressure. </w:t>
      </w:r>
    </w:p>
    <w:p>
      <w:pPr>
        <w:pStyle w:val="TextBody"/>
        <w:bidi w:val="0"/>
        <w:spacing w:before="180" w:after="0"/>
        <w:jc w:val="left"/>
        <w:rPr>
          <w:rFonts w:ascii="Arial" w:hAnsi="Arial"/>
          <w:sz w:val="19"/>
        </w:rPr>
      </w:pPr>
      <w:r>
        <w:rPr>
          <w:rFonts w:ascii="Arial" w:hAnsi="Arial"/>
          <w:sz w:val="19"/>
        </w:rPr>
        <w:t xml:space="preserve">Similar regulatory exclusivity periods outside the United States, including in the EU and the United Kingdom, differ in scope and duration and may be subject to legal or legislative change, which could also permit competition earlier than expected. In the EU, there is a special regime for biosimilars, or biological medicinal products that are similar to a reference medicinal product but that do not meet the definition of a generic medicinal product. For such products, the results of appropriate nonclinical studies or clinical trials must be provided in support of an MAA. Guidelines from the EMA detail the type of quantity of supplementary data to be provided for different types of biological product. In addition, other countries may have different standards in determining similarity to a Reference Product. Any market entry of competing products to our current or future product candidates in these other regions could adversely affect our business in those regions. To the extent that we do not receive any anticipated periods of regulatory exclusivity for our current or future product candidates, it could adversely affect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The policies of the FDA or other regulatory authorities may change, and additional government regulations may be enacted that could prevent, limit or delay regulatory approval of any of ipsoprubart, ELA822 or our future product candidates. </w:t>
      </w:r>
    </w:p>
    <w:p>
      <w:pPr>
        <w:pStyle w:val="TextBody"/>
        <w:bidi w:val="0"/>
        <w:spacing w:before="40" w:after="0"/>
        <w:jc w:val="left"/>
        <w:rPr>
          <w:rFonts w:ascii="Arial" w:hAnsi="Arial"/>
          <w:sz w:val="19"/>
        </w:rPr>
      </w:pPr>
      <w:r>
        <w:rPr>
          <w:rFonts w:ascii="Arial" w:hAnsi="Arial"/>
          <w:sz w:val="19"/>
        </w:rPr>
        <w:t xml:space="preserve">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 </w:t>
      </w:r>
    </w:p>
    <w:p>
      <w:pPr>
        <w:pStyle w:val="TextBody"/>
        <w:bidi w:val="0"/>
        <w:spacing w:before="180" w:after="0"/>
        <w:jc w:val="left"/>
        <w:rPr>
          <w:rFonts w:ascii="Arial" w:hAnsi="Arial"/>
          <w:sz w:val="19"/>
        </w:rPr>
      </w:pPr>
      <w:r>
        <w:rPr>
          <w:rFonts w:ascii="Arial" w:hAnsi="Arial"/>
          <w:sz w:val="19"/>
        </w:rPr>
        <w:t xml:space="preserve">In addition, three decisions from the U.S. Supreme Court in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regulatory agencies’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regulations, policies, and decisions of the FDA or other regulatory authorities, such as the SEC, may become subject to increasing legal challenges, delays, and changes. </w:t>
      </w:r>
    </w:p>
    <w:p>
      <w:pPr>
        <w:pStyle w:val="TextBody"/>
        <w:bidi w:val="0"/>
        <w:spacing w:before="180" w:after="0"/>
        <w:jc w:val="left"/>
        <w:rPr>
          <w:rFonts w:ascii="Arial" w:hAnsi="Arial"/>
          <w:sz w:val="19"/>
        </w:rPr>
      </w:pPr>
      <w:r>
        <w:rPr>
          <w:rFonts w:ascii="Arial" w:hAnsi="Arial"/>
          <w:sz w:val="19"/>
        </w:rPr>
        <w:t xml:space="preserve">Moreover, the UK government has enacted new legislation to overhaul the clinical trials regulatory framework. In April 2025, the UK adopted the Medicines for Human Use (Clinical Trials) (Amendment) Regulations 2025, intended to support a more streamlined and flexible regulation of clinical trials, remove unnecessary administrative burdens on trial sponsors, and protect the interests of trial participants. The amendment became applicable on April 28, 2026 following a one-year transition period. While these changes introduce efficiencies, the new requirements may impose additional compliance burdens on us and our CROs conducting trials in the UK and could result in increased costs or delays in trial initiation or conduct. </w:t>
      </w:r>
    </w:p>
    <w:p>
      <w:pPr>
        <w:pStyle w:val="TextBody"/>
        <w:bidi w:val="0"/>
        <w:spacing w:before="180" w:after="0"/>
        <w:jc w:val="left"/>
        <w:rPr>
          <w:rFonts w:ascii="Arial" w:hAnsi="Arial"/>
          <w:sz w:val="19"/>
        </w:rPr>
      </w:pPr>
      <w:r>
        <w:rPr>
          <w:rFonts w:ascii="Arial" w:hAnsi="Arial"/>
          <w:sz w:val="19"/>
        </w:rPr>
        <w:t xml:space="preserve">Furthermore, on December 11, 2025, the European Commission, the European Parliament and the European Council reached a political agreement on a comprehensive overhaul of EU pharmaceutical legislation (the Pharma Package). If formally adopted in its proposed form, the Pharma Package could, among other changes, reduce the baseline market protection period by one year, reshape the incentives regime for orphan medicinal products (including by reducing the baseline orphan market exclusivity from ten to nine years and replacing the current indication-based system with a product-based approach under which subsequent orphan indications for the same active substance will no longer benefit from separate periods of market exclusivity), and expand the Bolar exemption. Under the agreed transitional provisions, marketing authorizations already granted, and MAA submitted before the new regulation becomes applicable, will generally continue to be governed by current protection rules; however, any subsequent application for an additional orphan indication we submit after the entry into force but before the application date, any MAA we submit after the application date, and the expanded Bolar exemption (for which no transitional protection applies) could reduce the period of market exclusivity available to our product candidates in the EU and accelerate exposure to generic or biosimilar competition, potentially materially impacting the commercial prospects of our product candidates. The new framework is expected to enter into force at the end of 2026 to early 2027 and to be subject to transitional arrangements, with full application not anticipated before the end of 2028 to early 2029. </w:t>
      </w:r>
    </w:p>
    <w:p>
      <w:pPr>
        <w:pStyle w:val="TextBody"/>
        <w:bidi w:val="0"/>
        <w:spacing w:before="180" w:after="0"/>
        <w:jc w:val="left"/>
        <w:rPr>
          <w:rFonts w:ascii="Arial" w:hAnsi="Arial"/>
          <w:sz w:val="19"/>
        </w:rPr>
      </w:pPr>
      <w:r>
        <w:rPr>
          <w:rFonts w:ascii="Arial" w:hAnsi="Arial"/>
          <w:sz w:val="19"/>
        </w:rPr>
        <w:t xml:space="preserve">We ultimately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our business, results of operations, and financial condition could be adversely affected. </w:t>
      </w:r>
    </w:p>
    <w:p>
      <w:pPr>
        <w:pStyle w:val="TextBody"/>
        <w:bidi w:val="0"/>
        <w:spacing w:before="240" w:after="0"/>
        <w:jc w:val="left"/>
        <w:rPr>
          <w:rFonts w:ascii="Arial" w:hAnsi="Arial"/>
          <w:b/>
          <w:i/>
          <w:sz w:val="19"/>
        </w:rPr>
      </w:pPr>
      <w:r>
        <w:rPr>
          <w:rFonts w:ascii="Arial" w:hAnsi="Arial"/>
          <w:b/>
          <w:i/>
          <w:sz w:val="19"/>
        </w:rPr>
        <w:t xml:space="preserve">Disruptions at the FDA and other government agencies caused by, among other factors, funding shortages or global health concerns could hinder their ability to hire and retain key leadership and other personnel, slow the time necessary for new products to be reviewed and/or approved, or otherwise prevent those agencies from performing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normal business functions on which the operation of our business may rely, which would adversely affect our business. </w:t>
      </w:r>
    </w:p>
    <w:p>
      <w:pPr>
        <w:pStyle w:val="TextBody"/>
        <w:bidi w:val="0"/>
        <w:spacing w:before="40" w:after="0"/>
        <w:jc w:val="left"/>
        <w:rPr>
          <w:rFonts w:ascii="Arial" w:hAnsi="Arial"/>
          <w:sz w:val="19"/>
        </w:rPr>
      </w:pPr>
      <w:r>
        <w:rPr>
          <w:rFonts w:ascii="Arial" w:hAnsi="Arial"/>
          <w:sz w:val="19"/>
        </w:rPr>
        <w:t xml:space="preserve">The ability of the FDA and foreign regulatory authorities to review and approve new products can be affected by a variety of factors, including government budget and funding levels, government shutdowns,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180" w:after="0"/>
        <w:jc w:val="left"/>
        <w:rPr>
          <w:rFonts w:ascii="Arial" w:hAnsi="Arial"/>
          <w:sz w:val="19"/>
        </w:rPr>
      </w:pPr>
      <w:r>
        <w:rPr>
          <w:rFonts w:ascii="Arial" w:hAnsi="Arial"/>
          <w:sz w:val="19"/>
        </w:rPr>
        <w:t xml:space="preserve">Disruptions at the FDA and foreign regulatory authorities may slow the time necessary for new products to be reviewed and/or approved, which would adversely affect our business. For example, starting in January 2025, the U.S. government has reduced the number of federal employees, including at FDA, by establishing voluntary termination programs, by position eliminations or by involuntary terminations. Changes in FDA staffing could result in delays in the FDA’s responsiveness or in its ability to review submissions or applications, issue regulations or guidance, or implement or enforce regulatory requirements in a timely fashion or at all. </w:t>
      </w:r>
    </w:p>
    <w:p>
      <w:pPr>
        <w:pStyle w:val="TextBody"/>
        <w:bidi w:val="0"/>
        <w:spacing w:before="180" w:after="0"/>
        <w:jc w:val="left"/>
        <w:rPr>
          <w:rFonts w:ascii="Arial" w:hAnsi="Arial"/>
          <w:sz w:val="19"/>
        </w:rPr>
      </w:pPr>
      <w:r>
        <w:rPr>
          <w:rFonts w:ascii="Arial" w:hAnsi="Arial"/>
          <w:sz w:val="19"/>
        </w:rPr>
        <w:t xml:space="preserve">Similar consequences would also result in the event of a significant shutdown of the federal government. For example, over the last several years, and most recently in late 2025, the U.S. government has shut down several times, and certain regulatory agencies, such as the FDA,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personnel changes, and it remains unclear the degree to which these efforts or the resulting changes in FDA personnel may limit or otherwise adversely affect the FDA’s ability to conduct routine activities. If a prolonged government shutdown occurs, or if funding shortages, staffing limitations, or similar factors prevent or hinder the FDA from conducting their regular inspections, reviews, or other regulatory activities, such events could significantly impact the ability of the FDA to timely review and process our regulatory submissions or otherwise provide us with advice or guidance in a timely manner, which could have a material adverse effect on our business. Further, future government shutdowns or delays could impact our ability to access the public markets and obtain necessary capital in order to properly capitalize and continue our operations. If any legislation, executive orders, or lapses in agency funding impose constraints on the FDA’s ability to engage in oversight and implementation activities in the normal course, our business may be negatively impacted. </w:t>
      </w:r>
    </w:p>
    <w:p>
      <w:pPr>
        <w:pStyle w:val="TextBody"/>
        <w:bidi w:val="0"/>
        <w:spacing w:before="240" w:after="0"/>
        <w:jc w:val="left"/>
        <w:rPr>
          <w:rFonts w:ascii="Arial" w:hAnsi="Arial"/>
          <w:b/>
          <w:i/>
          <w:sz w:val="19"/>
        </w:rPr>
      </w:pPr>
      <w:r>
        <w:rPr>
          <w:rFonts w:ascii="Arial" w:hAnsi="Arial"/>
          <w:b/>
          <w:i/>
          <w:sz w:val="19"/>
        </w:rPr>
        <w:t xml:space="preserve">If we are found to have improperly promoted off-label use of our products, we may become subject to significant liability. </w:t>
      </w:r>
    </w:p>
    <w:p>
      <w:pPr>
        <w:pStyle w:val="TextBody"/>
        <w:bidi w:val="0"/>
        <w:spacing w:before="40" w:after="0"/>
        <w:jc w:val="left"/>
        <w:rPr>
          <w:rFonts w:ascii="Arial" w:hAnsi="Arial"/>
          <w:sz w:val="19"/>
        </w:rPr>
      </w:pPr>
      <w:r>
        <w:rPr>
          <w:rFonts w:ascii="Arial" w:hAnsi="Arial"/>
          <w:sz w:val="19"/>
        </w:rPr>
        <w:t xml:space="preserve">The FDA, comparable foreign regulatory authorities in other jurisdictions strictly regulate the promotional claims that may be made about prescription drug products, such as our products. While physicians, in the practice of medicine, may prescribe approved drugs for unapproved indications, a product may not be promoted for uses that are not approved by the applicable regulatory authority as reflected in the product’s approved labeling or for uses inconsistent with the product’s approved labeling. If our promotional materials and related activities are not consistent with the approved labeling or if physicians, in their professional medical judgment, nevertheless prescribe the drug product to their patients in a manner that is inconsistent with the approved labeling, we may be subject to claims that we promoted off-label use or otherwise violated applicable regulations. In addition, although we may believe ipsoprubart, ELA822 or our future product candidates may provide for superior efficacy as compared to marketed products, without head-to-head data, we will be unable to make comparative claims for our products. If we are found to have promoted such off-label use or made such unsubstantiated comparative claims, we may become subject to significant liability under the Federal Food, Drug, and Cosmetic Act and other statutory authorities, such as laws prohibiting false claims for reimbursement as well as sanctions, fines or other enforcement action under applicable foreign promotional rules and regulations. </w:t>
      </w:r>
    </w:p>
    <w:p>
      <w:pPr>
        <w:pStyle w:val="TextBody"/>
        <w:bidi w:val="0"/>
        <w:spacing w:before="240" w:after="0"/>
        <w:jc w:val="left"/>
        <w:rPr>
          <w:rFonts w:ascii="Arial" w:hAnsi="Arial"/>
          <w:b/>
          <w:i/>
          <w:sz w:val="19"/>
        </w:rPr>
      </w:pPr>
      <w:r>
        <w:rPr>
          <w:rFonts w:ascii="Arial" w:hAnsi="Arial"/>
          <w:b/>
          <w:i/>
          <w:sz w:val="19"/>
        </w:rPr>
        <w:t xml:space="preserve">Our operations and relationships with healthcare providers, healthcare organizations, customers and third-party payors will be subject to applicable anti-bribery, anti-kickback, fraud and abuse, transparency and other healthcare laws and regulations, which could expose us to, among other things, enforcement actions, criminal sanctions, civil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penalties, contractual damages, reputational harm, administrative burdens and diminished profits and future earnings. </w:t>
      </w:r>
    </w:p>
    <w:p>
      <w:pPr>
        <w:pStyle w:val="TextBody"/>
        <w:bidi w:val="0"/>
        <w:spacing w:before="40" w:after="0"/>
        <w:jc w:val="left"/>
        <w:rPr>
          <w:rFonts w:ascii="Arial" w:hAnsi="Arial"/>
          <w:sz w:val="19"/>
        </w:rPr>
      </w:pPr>
      <w:r>
        <w:rPr>
          <w:rFonts w:ascii="Arial" w:hAnsi="Arial"/>
          <w:sz w:val="19"/>
        </w:rPr>
        <w:t xml:space="preserve">Our current and future arrangements with healthcare providers, healthcare organizations, third- party payors and customers expose us to broadly applicable anti-bribery, fraud and abuse and other healthcare laws and regulations that may constrain the business or financial arrangements and relationships through which we research, market, sell and distribute any of our product candidates, if approved. Restrictions under applicable federal and state anti-bribery and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Anti-Kickback Statute, which prohibits, among other things, individuals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a federal and state healthcare program such as Medicare and Medicaid. The term remuneration has been broadly interpreted to include anything of value.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criminal and civil false claims and civil monetary penalties laws, including the federal False Claims Act, which can be enforced through civil whistleblower or qui tam actions against individuals or entities, and the Federal Civil Monetary Penalties Law,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HIPAA and its implementing regulations,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 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HIPAA, as amended by HITECH, and their respective implementing regulations, which impose obligations on certain healthcare providers, health plans, and healthcare clearinghouses, known as covered entities, as well as their business associates and covered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related to certain payments and other transfers of value to physicians (defined to include doctors, dentists, optometrists, podiatrists and chiropractors), certain other health care professionals (such as physician assistants and certain advance practices nurses),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Foreign Corrupt Practices Act (FCPA) which prohibits U.S. businesses and their representatives from directly or indirectly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analogous state and foreign laws and regulations, such as state anti-kickback and false claims laws, that may apply to sales or marketing arrangements and claims involving healthcare items or services reimbursed by non-governmental third-party payors, including private insurers;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certain state laws that require biopharmaceutical companies to comply with the biopharmaceutical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 information, and state and local laws that require the registration of biopharmaceutical sales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analogous foreign laws to the rules described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foreign as well as U.S. federal and state laws and regulations governing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180" w:after="0"/>
        <w:jc w:val="left"/>
        <w:rPr>
          <w:rFonts w:ascii="Arial" w:hAnsi="Arial"/>
          <w:sz w:val="19"/>
        </w:rPr>
      </w:pPr>
      <w:r>
        <w:rPr>
          <w:rFonts w:ascii="Arial" w:hAnsi="Arial"/>
          <w:sz w:val="19"/>
        </w:rPr>
        <w:t xml:space="preserve">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any of which could adversely affect our financial results.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 </w:t>
      </w:r>
    </w:p>
    <w:p>
      <w:pPr>
        <w:pStyle w:val="TextBody"/>
        <w:bidi w:val="0"/>
        <w:spacing w:before="240" w:after="0"/>
        <w:jc w:val="left"/>
        <w:rPr>
          <w:rFonts w:ascii="Arial" w:hAnsi="Arial"/>
          <w:b/>
          <w:i/>
          <w:sz w:val="19"/>
        </w:rPr>
      </w:pPr>
      <w:r>
        <w:rPr>
          <w:rFonts w:ascii="Arial" w:hAnsi="Arial"/>
          <w:b/>
          <w:i/>
          <w:sz w:val="19"/>
        </w:rPr>
        <w:t xml:space="preserve">We may face difficulties from healthcare legislative and regulatory reform measures. </w:t>
      </w:r>
    </w:p>
    <w:p>
      <w:pPr>
        <w:pStyle w:val="TextBody"/>
        <w:bidi w:val="0"/>
        <w:spacing w:before="40" w:after="0"/>
        <w:jc w:val="left"/>
        <w:rPr>
          <w:rFonts w:ascii="Arial" w:hAnsi="Arial"/>
          <w:sz w:val="19"/>
        </w:rPr>
      </w:pPr>
      <w:r>
        <w:rPr>
          <w:rFonts w:ascii="Arial" w:hAnsi="Arial"/>
          <w:sz w:val="19"/>
        </w:rPr>
        <w:t xml:space="preserve">Existing laws and regulatory policies may change and additional government regulations may be enacted that could prevent, limit or delay regulatory approval of ipsoprubart, ELA822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or may face penalties for any approved products, and we may not achieve or sustain profitability. </w:t>
      </w:r>
    </w:p>
    <w:p>
      <w:pPr>
        <w:pStyle w:val="TextBody"/>
        <w:bidi w:val="0"/>
        <w:spacing w:before="180" w:after="0"/>
        <w:jc w:val="left"/>
        <w:rPr>
          <w:rFonts w:ascii="Arial" w:hAnsi="Arial"/>
          <w:sz w:val="19"/>
        </w:rPr>
      </w:pPr>
      <w:r>
        <w:rPr>
          <w:rFonts w:ascii="Arial" w:hAnsi="Arial"/>
          <w:sz w:val="19"/>
        </w:rPr>
        <w:t xml:space="preserve">In the United States and some foreign jurisdictions, there have been and we expect there will continue to be, a number of legislative and regulatory changes to the healthcare system, including cost containment measures that may reduce or limit coverage and reimbursement for newly approved drugs and affect our ability to profitably sell any product candidates for which we obtain regulatory approval. In particular, there have been and continue to be a number of initiatives at the U.S. federal and state levels that seek to reduce healthcare costs and improve the quality of care. </w:t>
      </w:r>
    </w:p>
    <w:p>
      <w:pPr>
        <w:pStyle w:val="TextBody"/>
        <w:bidi w:val="0"/>
        <w:spacing w:before="180" w:after="0"/>
        <w:jc w:val="left"/>
        <w:rPr>
          <w:rFonts w:ascii="Arial" w:hAnsi="Arial"/>
          <w:sz w:val="19"/>
        </w:rPr>
      </w:pPr>
      <w:r>
        <w:rPr>
          <w:rFonts w:ascii="Arial" w:hAnsi="Arial"/>
          <w:sz w:val="19"/>
        </w:rPr>
        <w:t xml:space="preserve">For example, the ACA made significant changes to the healthcare system in the United States. Since its enactment, there have been amendments and judicial, Congressional and executive branch challenges to certain aspects of the ACA. For example, on July 4, 2025, the OBBBA was signed into law, which narrowed access to ACA marketplace exchange enrollment and declined to extend the ACA enhanced advanced premium tax credits that expired at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80" w:after="0"/>
        <w:jc w:val="left"/>
        <w:rPr>
          <w:rFonts w:ascii="Arial" w:hAnsi="Arial"/>
          <w:sz w:val="19"/>
        </w:rPr>
      </w:pPr>
      <w:r>
        <w:rPr>
          <w:rFonts w:ascii="Arial" w:hAnsi="Arial"/>
          <w:sz w:val="19"/>
        </w:rPr>
        <w:t xml:space="preserve">Other legislative changes have been proposed and adopted in the United States since the ACA was enacted. These changes include aggregate reductions to Medicare payments to providers, which began in 2013 and will remain in effect until 2032 unless additional Congressional action is taken. </w:t>
      </w:r>
    </w:p>
    <w:p>
      <w:pPr>
        <w:pStyle w:val="TextBody"/>
        <w:bidi w:val="0"/>
        <w:spacing w:before="180" w:after="0"/>
        <w:jc w:val="left"/>
        <w:rPr>
          <w:rFonts w:ascii="Arial" w:hAnsi="Arial"/>
          <w:sz w:val="19"/>
        </w:rPr>
      </w:pPr>
      <w:r>
        <w:rPr>
          <w:rFonts w:ascii="Arial" w:hAnsi="Arial"/>
          <w:sz w:val="19"/>
        </w:rPr>
        <w:t xml:space="preserve">The federal administration is pursuing policies to reduce regulations and expenditures across government, including at the U.S. Department of Health and Human Services (HHS), which include the FDA and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w:t>
      </w:r>
    </w:p>
    <w:p>
      <w:pPr>
        <w:pStyle w:val="TextBody"/>
        <w:bidi w:val="0"/>
        <w:spacing w:before="180" w:after="0"/>
        <w:jc w:val="left"/>
        <w:rPr>
          <w:rFonts w:ascii="Arial" w:hAnsi="Arial"/>
          <w:sz w:val="19"/>
        </w:rPr>
      </w:pPr>
      <w:r>
        <w:rPr>
          <w:rFonts w:ascii="Arial" w:hAnsi="Arial"/>
          <w:sz w:val="19"/>
        </w:rPr>
        <w:t xml:space="preserve">Further,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w:t>
      </w:r>
    </w:p>
    <w:p>
      <w:pPr>
        <w:pStyle w:val="TextBody"/>
        <w:bidi w:val="0"/>
        <w:spacing w:before="180" w:after="0"/>
        <w:jc w:val="left"/>
        <w:rPr>
          <w:rFonts w:ascii="Arial" w:hAnsi="Arial"/>
          <w:sz w:val="19"/>
        </w:rPr>
      </w:pPr>
      <w:r>
        <w:rPr>
          <w:rFonts w:ascii="Arial" w:hAnsi="Arial"/>
          <w:sz w:val="19"/>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while some states are also seeking to implement general, across the board price caps for pharmaceuticals, or are seeking to regulate drug distribution. Some measures are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 </w:t>
      </w:r>
    </w:p>
    <w:p>
      <w:pPr>
        <w:pStyle w:val="TextBody"/>
        <w:bidi w:val="0"/>
        <w:spacing w:before="180" w:after="0"/>
        <w:jc w:val="left"/>
        <w:rPr>
          <w:rFonts w:ascii="Arial" w:hAnsi="Arial"/>
          <w:sz w:val="19"/>
        </w:rPr>
      </w:pPr>
      <w:r>
        <w:rPr>
          <w:rFonts w:ascii="Arial" w:hAnsi="Arial"/>
          <w:sz w:val="19"/>
        </w:rPr>
        <w:t xml:space="preserve">We expect that additional state, federal and foreign healthcare reform measures will be adopted in the future, any of which could limit the amounts that federal and state governments will pay for pharmaceuticals and other healthcare products and services, which could result in reduced demand for ipsoprubart, ELA822 or any of our future product candidates or additional pricing pressures or otherwise impact our operations.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Even if we are able to commercialize ipsoprubart, ELA822 and any future product candidates, if approved, such product candidate may become subject to unfavorable pricing regulations or third-party coverage and reimbursement policies, which would harm our business. </w:t>
      </w:r>
    </w:p>
    <w:p>
      <w:pPr>
        <w:pStyle w:val="TextBody"/>
        <w:bidi w:val="0"/>
        <w:spacing w:before="40" w:after="0"/>
        <w:jc w:val="left"/>
        <w:rPr>
          <w:rFonts w:ascii="Arial" w:hAnsi="Arial"/>
          <w:sz w:val="19"/>
        </w:rPr>
      </w:pPr>
      <w:r>
        <w:rPr>
          <w:rFonts w:ascii="Arial" w:hAnsi="Arial"/>
          <w:sz w:val="19"/>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Sales of any of our product candidates that receive regulatory approval will be dependent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Even if coverage is provided, the approved reimbursement amount may not be high enough to allow us to establish or maintain pricing sufficient to realize an adequate return on our investment. If reimbursement is not available, or is available only to limited levels, we may not be able to successfully commercialize our product candidates.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 </w:t>
      </w:r>
    </w:p>
    <w:p>
      <w:pPr>
        <w:pStyle w:val="TextBody"/>
        <w:bidi w:val="0"/>
        <w:spacing w:before="180" w:after="0"/>
        <w:jc w:val="left"/>
        <w:rPr>
          <w:rFonts w:ascii="Arial" w:hAnsi="Arial"/>
          <w:sz w:val="19"/>
        </w:rPr>
      </w:pPr>
      <w:r>
        <w:rPr>
          <w:rFonts w:ascii="Arial" w:hAnsi="Arial"/>
          <w:sz w:val="19"/>
        </w:rPr>
        <w:t xml:space="preserve">There is significant uncertainty related to insurance coverage and reimbursement of newly approved products. In the United States, private payors often follow the coverage and reimbursement policies established by CMS, the federal agency responsible for administering the Medicare program. One payor’s determination to provide coverage for a product does not assure that other payors will also provide coverage for the product. As a result, the coverage determination process is often time-consuming and costly. This process will require us to provide scientific and clinical support for the use of our products to each payor separately, with no assurance that coverage and adequate reimbursement will be applied consistently or obtained in the first instance. 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products. Third-party payors may limit coverage to specific products on an approved list, known as a formulary, which might not include all FDA-approved products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 </w:t>
      </w:r>
    </w:p>
    <w:p>
      <w:pPr>
        <w:pStyle w:val="TextBody"/>
        <w:bidi w:val="0"/>
        <w:spacing w:before="180" w:after="0"/>
        <w:jc w:val="left"/>
        <w:rPr>
          <w:rFonts w:ascii="Arial" w:hAnsi="Arial"/>
          <w:sz w:val="19"/>
        </w:rPr>
      </w:pPr>
      <w:r>
        <w:rPr>
          <w:rFonts w:ascii="Arial" w:hAnsi="Arial"/>
          <w:sz w:val="19"/>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approved. For example, HHS imposes rebates on many Medicare Part B and Medicare Part D products to penalize price increases that outpace inflation on an annual basis. HHS has also been empowered to negotiate the price of certain single-source drugs that have been on the market for seven (7) years and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240" w:after="0"/>
        <w:jc w:val="left"/>
        <w:rPr>
          <w:rFonts w:ascii="Arial" w:hAnsi="Arial"/>
          <w:b/>
          <w:i/>
          <w:sz w:val="19"/>
        </w:rPr>
      </w:pPr>
      <w:r>
        <w:rPr>
          <w:rFonts w:ascii="Arial" w:hAnsi="Arial"/>
          <w:b/>
          <w:i/>
          <w:sz w:val="19"/>
        </w:rPr>
        <w:t xml:space="preserve">We are subject to U.S. and certain foreign export and import controls, sanctions, embargoes, anti-corruption laws and other trade laws and regulations. Compliance with these legal standards could impair our ability to compete 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domestic and international markets. We can face criminal liability and other serious consequences for violations, which can harm our business. </w:t>
      </w:r>
    </w:p>
    <w:p>
      <w:pPr>
        <w:pStyle w:val="TextBody"/>
        <w:bidi w:val="0"/>
        <w:spacing w:before="40" w:after="0"/>
        <w:jc w:val="left"/>
        <w:rPr>
          <w:rFonts w:ascii="Arial" w:hAnsi="Arial"/>
          <w:sz w:val="19"/>
        </w:rPr>
      </w:pPr>
      <w:r>
        <w:rPr>
          <w:rFonts w:ascii="Arial" w:hAnsi="Arial"/>
          <w:sz w:val="19"/>
        </w:rPr>
        <w:t xml:space="preserve">U.S. and foreign anti-corruption laws and regulations prohibit, among other things, companies and their employees, agents, CROs, CMOs, consultants, contractors and other partners and representatives from authorizing, promising, offering, providing, soliciting, or receiving directly or indirectly, corrupt or improper payments or anything else of value to or from recipients in the public or private sector.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nonclinical studies and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 </w:t>
      </w:r>
    </w:p>
    <w:p>
      <w:pPr>
        <w:pStyle w:val="TextBody"/>
        <w:bidi w:val="0"/>
        <w:spacing w:before="180" w:after="0"/>
        <w:jc w:val="left"/>
        <w:rPr>
          <w:rFonts w:ascii="Arial" w:hAnsi="Arial"/>
          <w:sz w:val="19"/>
        </w:rPr>
      </w:pPr>
      <w:r>
        <w:rPr>
          <w:rFonts w:ascii="Arial" w:hAnsi="Arial"/>
          <w:sz w:val="19"/>
        </w:rPr>
        <w:t xml:space="preserve">We are also subject to export control, import, and sanctions laws and regulations, including the U.S. Export Administration Regulations, U.S. Customs regulations and various economic and trade sanctions regulations administered by the U.S. Treasury Department’s Office of Foreign Assets Control.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80" w:after="0"/>
        <w:jc w:val="left"/>
        <w:rPr>
          <w:rFonts w:ascii="Arial" w:hAnsi="Arial"/>
          <w:sz w:val="19"/>
        </w:rPr>
      </w:pPr>
      <w:r>
        <w:rPr>
          <w:rFonts w:ascii="Arial" w:hAnsi="Arial"/>
          <w:sz w:val="19"/>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0"/>
        <w:jc w:val="left"/>
        <w:rPr>
          <w:rFonts w:ascii="Arial" w:hAnsi="Arial"/>
          <w:b/>
          <w:i/>
          <w:sz w:val="19"/>
        </w:rPr>
      </w:pPr>
      <w:r>
        <w:rPr>
          <w:rFonts w:ascii="Arial" w:hAnsi="Arial"/>
          <w:b/>
          <w:i/>
          <w:sz w:val="19"/>
        </w:rPr>
        <w:t xml:space="preserve">Governments outside the United States tend to impose strict price controls, which may adversely affect our revenue, if any. </w:t>
      </w:r>
    </w:p>
    <w:p>
      <w:pPr>
        <w:pStyle w:val="TextBody"/>
        <w:bidi w:val="0"/>
        <w:spacing w:before="40" w:after="0"/>
        <w:jc w:val="left"/>
        <w:rPr>
          <w:rFonts w:ascii="Arial" w:hAnsi="Arial"/>
          <w:sz w:val="19"/>
        </w:rPr>
      </w:pPr>
      <w:r>
        <w:rPr>
          <w:rFonts w:ascii="Arial" w:hAnsi="Arial"/>
          <w:sz w:val="19"/>
        </w:rPr>
        <w:t xml:space="preserve">In some countries, particularly member states of the EU, the pricing of certain therapeutic products is subject to governmental control. In these countries, pricing negotiations with governmental authorities can take considerable time after receipt of regulatory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w:t>
      </w:r>
    </w:p>
    <w:p>
      <w:pPr>
        <w:pStyle w:val="TextBody"/>
        <w:bidi w:val="0"/>
        <w:spacing w:before="180" w:after="0"/>
        <w:jc w:val="left"/>
        <w:rPr>
          <w:rFonts w:ascii="Arial" w:hAnsi="Arial"/>
          <w:sz w:val="19"/>
        </w:rPr>
      </w:pPr>
      <w:r>
        <w:rPr>
          <w:rFonts w:ascii="Arial" w:hAnsi="Arial"/>
          <w:sz w:val="19"/>
        </w:rPr>
        <w:t xml:space="preserve">In the EU, pricing and reimbursement decisions are made by individual EU Member States and are separate from the marketing authorization process. EU Member States may restrict the range of products for which their national health insurance systems provide reimbursement, control the prices of medicinal products, or impose significant price discounts or rebates. In addition, EU Member States increasingly require health technology assessments (HTAs) that compare the cost-effectiveness of a medicinal product to currently available therapies as a condition of reimbursement. At the EU level, Regulation (EU) 2021/2282 on HTA entered into application on January 12, 2025 through a phased implementation. The HTA Regulation initially applies to new active substances for oncology products and advanced therapy medicinal products, and will expand to orphan medicinal products in January 2028 and to all centrally authorized medicinal products by 2030. As the HTA Regulation applies to orphan medicinal products from 2028, joint clinical assessments conducted at the EU level may result in adverse or delayed outcomes that negatively affect our ability to obtain or maintain favorable reimbursement status across EU Member States. Any failure to obtain adequate coverage and reimbursement in EU Member States for our product candidates could limit our commercial opportunity and materially harm our business, financial condition, and results of operations. </w:t>
      </w:r>
    </w:p>
    <w:p>
      <w:pPr>
        <w:pStyle w:val="TextBody"/>
        <w:bidi w:val="0"/>
        <w:spacing w:before="180" w:after="0"/>
        <w:jc w:val="left"/>
        <w:rPr>
          <w:rFonts w:ascii="Arial" w:hAnsi="Arial"/>
          <w:sz w:val="19"/>
        </w:rPr>
      </w:pPr>
      <w:r>
        <w:rPr>
          <w:rFonts w:ascii="Arial" w:hAnsi="Arial"/>
          <w:sz w:val="19"/>
        </w:rPr>
        <w:t xml:space="preserve">Reference pricing used by various EU member states and parallel distribution, or arbitrage between low-priced and high-priced member states, can further reduce prices. To obtain coverage and reimbursement or pricing approvals 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some countries, we may be required to conduct a clinical trial or other studies that compare the cost-effectiveness of ipsoprubart, ELA822 or any of our future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spacing w:before="240" w:after="0"/>
        <w:jc w:val="left"/>
        <w:rPr>
          <w:rFonts w:ascii="Arial" w:hAnsi="Arial"/>
          <w:b/>
          <w:sz w:val="20"/>
        </w:rPr>
      </w:pPr>
      <w:r>
        <w:rPr>
          <w:rFonts w:ascii="Arial" w:hAnsi="Arial"/>
          <w:b/>
          <w:sz w:val="20"/>
        </w:rPr>
        <w:t xml:space="preserve">Risks Related to Our Common Stock and This Offering </w:t>
      </w:r>
    </w:p>
    <w:p>
      <w:pPr>
        <w:pStyle w:val="TextBody"/>
        <w:bidi w:val="0"/>
        <w:spacing w:before="240" w:after="0"/>
        <w:jc w:val="left"/>
        <w:rPr>
          <w:rFonts w:ascii="Arial" w:hAnsi="Arial"/>
          <w:b/>
          <w:i/>
          <w:sz w:val="19"/>
        </w:rPr>
      </w:pPr>
      <w:r>
        <w:rPr>
          <w:rFonts w:ascii="Arial" w:hAnsi="Arial"/>
          <w:b/>
          <w:i/>
          <w:sz w:val="19"/>
        </w:rPr>
        <w:t xml:space="preserve">The market price of our common stock is likely to be highly volatile, and you could lose all or part of your investment. </w:t>
      </w:r>
    </w:p>
    <w:p>
      <w:pPr>
        <w:pStyle w:val="TextBody"/>
        <w:bidi w:val="0"/>
        <w:spacing w:before="40" w:after="0"/>
        <w:jc w:val="left"/>
        <w:rPr>
          <w:rFonts w:ascii="Arial" w:hAnsi="Arial"/>
          <w:sz w:val="19"/>
        </w:rPr>
      </w:pPr>
      <w:r>
        <w:rPr>
          <w:rFonts w:ascii="Arial" w:hAnsi="Arial"/>
          <w:sz w:val="19"/>
        </w:rPr>
        <w:t xml:space="preserve">The trading price of our common stock following this offering is likely to be highly volatile and subject to wide fluctuations in response to various factors, some of which we cannot control. As a result of this volatility, investors may not be able to sell their common stock at or above the initial public offering price. The market price for our common stock may be influenced by many factors, including the other risks described in this “Risk Factors” section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results of nonclinical studies and clinical trials of any product candidates, or those of our competitors or any potential future collaborators or licensing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and enrollment status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or legal developments in the United States or other countries, especially changes in federal or global health policies, laws or regulations applicable to any product candidates, including the review and oversight functions of federal health regulatory bodies;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success or failure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introductions and announcements of new product candidates by us, any future commercialization partners, or our competitors,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actions taken by regulatory agencies with respect to any product candidates, clinical trials, and, if approved,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actual or anticipated 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success of our efforts to identify, acquire or in-license new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developments concerning any future collaborations, including but not limited to those with development and commercialization partners if any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announcements by us or our competitors of significant acquisitions, strategic collaborations,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developments or disputes concerning patents or other proprietary rights, including patents, litigation matters and our ability to obtain patent protection for any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or inability to raise additional capital and the terms on which we are able to raise it,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actual or anticipated changes in earnings estimates, development timelines or changes in stock market analyst recommendations regarding our common stock, other comparable companies or our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failure or the failure of our competitors to meet analysts’ projections or guidance that we or our competitors may give to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announcement and expectation of additional financing efforts;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fluctuations of share price and 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sales or perceived potential sales of shares of our common stock by us, insiders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concentrated ownership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actions instituted by activist stockholders or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terrorist acts, acts of war or periods of widespread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natural disasters and other calamities, including global epidemics and pandemics such as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general economic, industry and market conditions, including changes in tariffs and trade restrictions, fluctuating interest rates and inflation;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other events or factors, many of which are beyond our control. </w:t>
            </w:r>
          </w:p>
        </w:tc>
      </w:tr>
    </w:tbl>
    <w:p>
      <w:pPr>
        <w:pStyle w:val="TextBody"/>
        <w:bidi w:val="0"/>
        <w:spacing w:before="180" w:after="0"/>
        <w:jc w:val="left"/>
        <w:rPr>
          <w:rFonts w:ascii="Arial" w:hAnsi="Arial"/>
          <w:sz w:val="19"/>
        </w:rPr>
      </w:pPr>
      <w:r>
        <w:rPr>
          <w:rFonts w:ascii="Arial" w:hAnsi="Arial"/>
          <w:sz w:val="19"/>
        </w:rPr>
        <w:t xml:space="preserve">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240" w:after="0"/>
        <w:jc w:val="left"/>
        <w:rPr>
          <w:rFonts w:ascii="Arial" w:hAnsi="Arial"/>
          <w:b/>
          <w:i/>
          <w:sz w:val="19"/>
        </w:rPr>
      </w:pPr>
      <w:r>
        <w:rPr>
          <w:rFonts w:ascii="Arial" w:hAnsi="Arial"/>
          <w:b/>
          <w:i/>
          <w:sz w:val="19"/>
        </w:rPr>
        <w:t xml:space="preserve">Sales of substantial amounts of shares of our common stock may cause the price of our common stock to decline. </w:t>
      </w:r>
    </w:p>
    <w:p>
      <w:pPr>
        <w:pStyle w:val="TextBody"/>
        <w:bidi w:val="0"/>
        <w:spacing w:before="40" w:after="0"/>
        <w:jc w:val="left"/>
        <w:rPr>
          <w:rFonts w:ascii="Arial" w:hAnsi="Arial"/>
          <w:sz w:val="19"/>
        </w:rPr>
      </w:pPr>
      <w:r>
        <w:rPr>
          <w:rFonts w:ascii="Arial" w:hAnsi="Arial"/>
          <w:sz w:val="19"/>
        </w:rPr>
        <w:t xml:space="preserve">Based on 59,158,361 shares of our capital stock outstanding as of June 30, 2026, assuming the automatic conversion of our outstanding redeemable convertible preferred stock as of June 30, 2026, upon completion of this offering, we will have a total of     shares of common stock outstanding. Of these shares, only the shares of common stock sold in this offering, or    shares if the underwriters exercise their option to purchase additional shares in full, will be freely tradable, without restriction, in the public market immediately after this offering. Each of our officers, directors and substantially all of our stockholders have entered into lock-up agreements with the underwriters that, among other things and subject to certain exceptions, restrict their ability to sell or transfer their shares. The lock-up agreements pertaining to this offering will expire 180 days from the date of this prospectus. However, Jefferies LLC and TD Securities (USA) LLC may, in their sole discretion, permit our officers, directors and other stockholders who are subject to the lock-up agreements to sell shares prior to the expiration of the lock-up agreements. After the lock-up agreements expire, based on 59,158,361 shares outstanding as of June 30, 2026, assuming the automatic conversion of our outstanding redeemable convertible preferred stock as of June 30, 2026, approximately up to an additional    shares of common stock will be eligible for sale in the public market approximately    of which shares are held by our officers, directors and their affiliated entities, which assumes that Electra Therapeutics LLC (Electra LLC) uses the midpoint of the range set forth on the cover of this prospectus for purposes of valuing a share of Series A redeemable convertible preferred stock and will be subject to volume limitations under Rule 144 under the Securities Act of 1933, as amended (Securities Act). See the section titled “Executive and Director Compensation—Narrative to Summary Compensation Table—Equity-based Incentive Awards” for additional information about Electra LLC. Prior to the closing of this offering, Electra LLC expects to distribute shares of our Series A redeemable convertible preferred stock to the unit holders of Electra LLC, which includes certain of our officers, directors and their affiliated entities. </w:t>
      </w:r>
    </w:p>
    <w:p>
      <w:pPr>
        <w:pStyle w:val="TextBody"/>
        <w:bidi w:val="0"/>
        <w:spacing w:before="180" w:after="0"/>
        <w:jc w:val="left"/>
        <w:rPr>
          <w:rFonts w:ascii="Arial" w:hAnsi="Arial"/>
          <w:sz w:val="19"/>
        </w:rPr>
      </w:pPr>
      <w:r>
        <w:rPr>
          <w:rFonts w:ascii="Arial" w:hAnsi="Arial"/>
          <w:sz w:val="19"/>
        </w:rPr>
        <w:t xml:space="preserve">After this offering, the holders of an aggregate of 59,114,361 shares of our outstanding common stock as of June 30, 2026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lock-up agreements described above and in the sections titled “Shares Eligible for Future Sale” and “Underwriting.” See the section titled “Description of Capital Stock—Registration Rights” for additional information. </w:t>
      </w:r>
    </w:p>
    <w:p>
      <w:pPr>
        <w:pStyle w:val="TextBody"/>
        <w:bidi w:val="0"/>
        <w:spacing w:before="180" w:after="0"/>
        <w:jc w:val="left"/>
        <w:rPr>
          <w:rFonts w:ascii="Arial" w:hAnsi="Arial"/>
          <w:sz w:val="19"/>
        </w:rPr>
      </w:pPr>
      <w:r>
        <w:rPr>
          <w:rFonts w:ascii="Arial" w:hAnsi="Arial"/>
          <w:sz w:val="19"/>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 </w:t>
      </w:r>
    </w:p>
    <w:p>
      <w:pPr>
        <w:pStyle w:val="TextBody"/>
        <w:bidi w:val="0"/>
        <w:spacing w:before="180" w:after="0"/>
        <w:jc w:val="left"/>
        <w:rPr>
          <w:rFonts w:ascii="Arial" w:hAnsi="Arial"/>
          <w:sz w:val="19"/>
        </w:rPr>
      </w:pPr>
      <w:r>
        <w:rPr>
          <w:rFonts w:ascii="Arial" w:hAnsi="Arial"/>
          <w:sz w:val="19"/>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intend to sell shares of our common stock, could reduce the market price of our common stock. </w:t>
      </w:r>
    </w:p>
    <w:p>
      <w:pPr>
        <w:pStyle w:val="TextBody"/>
        <w:bidi w:val="0"/>
        <w:spacing w:before="240" w:after="0"/>
        <w:jc w:val="left"/>
        <w:rPr>
          <w:rFonts w:ascii="Arial" w:hAnsi="Arial"/>
          <w:b/>
          <w:i/>
          <w:sz w:val="19"/>
        </w:rPr>
      </w:pPr>
      <w:r>
        <w:rPr>
          <w:rFonts w:ascii="Arial" w:hAnsi="Arial"/>
          <w:b/>
          <w:i/>
          <w:sz w:val="19"/>
        </w:rPr>
        <w:t xml:space="preserve">We will have broad discretion in the use of the net proceeds from this offering and may not use them effectively. </w:t>
      </w:r>
    </w:p>
    <w:p>
      <w:pPr>
        <w:pStyle w:val="TextBody"/>
        <w:bidi w:val="0"/>
        <w:spacing w:before="40" w:after="0"/>
        <w:jc w:val="left"/>
        <w:rPr>
          <w:rFonts w:ascii="Arial" w:hAnsi="Arial"/>
          <w:sz w:val="19"/>
        </w:rPr>
      </w:pPr>
      <w:r>
        <w:rPr>
          <w:rFonts w:ascii="Arial" w:hAnsi="Arial"/>
          <w:sz w:val="19"/>
        </w:rPr>
        <w:t xml:space="preserve">Our management will have broad discretion in the application of the net proceeds from this offering, including for any of the purposes described in the section titled “Use of Proceeds,”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 Pending their use, we may invest the net proceeds from this offering in a manner that does not produce income or that loses value. </w:t>
      </w:r>
    </w:p>
    <w:p>
      <w:pPr>
        <w:pStyle w:val="TextBody"/>
        <w:bidi w:val="0"/>
        <w:spacing w:before="240" w:after="0"/>
        <w:jc w:val="left"/>
        <w:rPr>
          <w:rFonts w:ascii="Arial" w:hAnsi="Arial"/>
          <w:b/>
          <w:i/>
          <w:sz w:val="19"/>
        </w:rPr>
      </w:pPr>
      <w:r>
        <w:rPr>
          <w:rFonts w:ascii="Arial" w:hAnsi="Arial"/>
          <w:b/>
          <w:i/>
          <w:sz w:val="19"/>
        </w:rPr>
        <w:t xml:space="preserve">No public market for our common stock currently exists, and an active and liquid trading market for our common stock may never develop. As a result, you may not be able to resell your shares of common stock at or above the initial public offering price. </w:t>
      </w:r>
    </w:p>
    <w:p>
      <w:pPr>
        <w:pStyle w:val="TextBody"/>
        <w:bidi w:val="0"/>
        <w:spacing w:before="40" w:after="0"/>
        <w:jc w:val="left"/>
        <w:rPr>
          <w:rFonts w:ascii="Arial" w:hAnsi="Arial"/>
          <w:sz w:val="19"/>
        </w:rPr>
      </w:pPr>
      <w:r>
        <w:rPr>
          <w:rFonts w:ascii="Arial" w:hAnsi="Arial"/>
          <w:sz w:val="19"/>
        </w:rPr>
        <w:t xml:space="preserve">Prior to this offering, no market for our common stock existed and an active trading market for our common stock may never develop or be sustained following this offering. The initial public offering price for our common stock was determined through negotiations with the underwriters and the negotiated price may not be indicative of the market price of our common stock after this offering. This price will not necessarily reflect the price at which investors in the market will be willing to buy and sell our shares following this offering, and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of common stock at the time you wish to sell them or at a price that you consider reasonable. The lack of an active market may also reduce the fair market value of your shares of common stock. To the extent certain of our existing stockholders and their affiliated entities participate in this offering, such purchases would reduce the nonaffiliated public float of our shares, meaning the number of shares of our common stock that are not held by officers, directors and controlling stockholders. As a result, the number of freely tradeable shares of our common stock following this offering will be reduced to what it would have been had these shares been sold to investors that were not existing stockholders, affiliates or purchasers.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240" w:after="0"/>
        <w:jc w:val="left"/>
        <w:rPr>
          <w:rFonts w:ascii="Arial" w:hAnsi="Arial"/>
          <w:b/>
          <w:i/>
          <w:sz w:val="19"/>
        </w:rPr>
      </w:pPr>
      <w:r>
        <w:rPr>
          <w:rFonts w:ascii="Arial" w:hAnsi="Arial"/>
          <w:b/>
          <w:i/>
          <w:sz w:val="19"/>
        </w:rPr>
        <w:t xml:space="preserve">You will experience immediate and substantial dilution as a result of this offering and raising additional capital in the future may cause dilution to our stockholders, including purchasers of common stock in this offering, restrict our operations or require us to relinquish rights to our technologies or product candidates. </w:t>
      </w:r>
    </w:p>
    <w:p>
      <w:pPr>
        <w:pStyle w:val="TextBody"/>
        <w:bidi w:val="0"/>
        <w:spacing w:before="40" w:after="0"/>
        <w:jc w:val="left"/>
        <w:rPr>
          <w:rFonts w:ascii="Arial" w:hAnsi="Arial"/>
          <w:sz w:val="19"/>
        </w:rPr>
      </w:pPr>
      <w:r>
        <w:rPr>
          <w:rFonts w:ascii="Arial" w:hAnsi="Arial"/>
          <w:sz w:val="19"/>
        </w:rPr>
        <w:t xml:space="preserve">The assumed initial public offering price of $    per share, which is the midpoint of the range set forth on the cover page of this prospectus, is substantially higher than the pro forma as adjusted net tangible book value per share of our outstanding common stock immediately following the completion of this offering. If you purchase common stock in this offering at the assumed initial public offering price of $    per share, and assuming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underwriters do not exercise their option to purchase additional common stock in this offering, you will incur immediate and substantial dilution of $    per share, representing the difference between the assumed initial public offering price of $    per share and our pro forma as adjusted net tangible book value per share as of June 30, 2026 after giving effect to this offering and the conversion of all outstanding redeemable convertible preferred stock immediately prior to the closing of this offering. Following the completion of this offering, investors purchasing common stock in this offering will have contributed  % of the total amount invested by stockholders since inception, but will only own  % of the shares of common stock outstanding. For a further description of the dilution you will experience immediately after this offering, see the section titled “Dilution.” </w:t>
      </w:r>
    </w:p>
    <w:p>
      <w:pPr>
        <w:pStyle w:val="TextBody"/>
        <w:bidi w:val="0"/>
        <w:spacing w:before="240" w:after="0"/>
        <w:jc w:val="left"/>
        <w:rPr>
          <w:rFonts w:ascii="Arial" w:hAnsi="Arial"/>
          <w:b/>
          <w:i/>
          <w:sz w:val="19"/>
        </w:rPr>
      </w:pPr>
      <w:r>
        <w:rPr>
          <w:rFonts w:ascii="Arial" w:hAnsi="Arial"/>
          <w:b/>
          <w:i/>
          <w:sz w:val="19"/>
        </w:rPr>
        <w:t xml:space="preserve">After this offering, our executive officers, directors and principal stockholders, if they choose to act together, will continue to have the ability to control or significantly influence all matters submitted to stockholders for approval. </w:t>
      </w:r>
    </w:p>
    <w:p>
      <w:pPr>
        <w:pStyle w:val="TextBody"/>
        <w:bidi w:val="0"/>
        <w:spacing w:before="40" w:after="0"/>
        <w:jc w:val="left"/>
        <w:rPr>
          <w:rFonts w:ascii="Arial" w:hAnsi="Arial"/>
          <w:sz w:val="19"/>
        </w:rPr>
      </w:pPr>
      <w:r>
        <w:rPr>
          <w:rFonts w:ascii="Arial" w:hAnsi="Arial"/>
          <w:sz w:val="19"/>
        </w:rPr>
        <w:t xml:space="preserve">Upon the closing of this offering, our executive officers, directors and stockholders who owned more than 5% of our outstanding common stock before this offering and their respective affiliates will, in the aggregate, hold approximately      of our outstanding common stock (based on the number of shares of common stock outstanding as of June 30, 2026, assuming no purchase of shares in this offering by any of this group, and assuming that Electra LLC uses the midpoint of the range set forth on the cover of this prospectus for purposes of valuing a share of Series A redeemable convertible preferred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sale of all or substantially all of our assets or other business combination that other stockholders may desire. The interests of these stockholders may not always coincide with your interests or the interests of other stockholders and they may act in a manner that advances their best interests and not necessarily of those of other stockholders, including seeking a premium value for their common stock. Any of these actions could adversely affect the market price of our common stock. </w:t>
      </w:r>
    </w:p>
    <w:p>
      <w:pPr>
        <w:pStyle w:val="TextBody"/>
        <w:bidi w:val="0"/>
        <w:spacing w:before="240" w:after="0"/>
        <w:jc w:val="left"/>
        <w:rPr>
          <w:rFonts w:ascii="Arial" w:hAnsi="Arial"/>
          <w:b/>
          <w:i/>
          <w:sz w:val="19"/>
        </w:rPr>
      </w:pPr>
      <w:r>
        <w:rPr>
          <w:rFonts w:ascii="Arial" w:hAnsi="Arial"/>
          <w:b/>
          <w:i/>
          <w:sz w:val="19"/>
        </w:rPr>
        <w:t xml:space="preserve">Anti-takeover provisions in our charter documents and under Delaware law could prevent or delay an acquisition of us, which may be beneficial to our stockholders, and may prevent attempts by our stockholders to replace or remove our current management. </w:t>
      </w:r>
    </w:p>
    <w:p>
      <w:pPr>
        <w:pStyle w:val="TextBody"/>
        <w:bidi w:val="0"/>
        <w:spacing w:before="40" w:after="0"/>
        <w:jc w:val="left"/>
        <w:rPr>
          <w:rFonts w:ascii="Arial" w:hAnsi="Arial"/>
          <w:sz w:val="19"/>
        </w:rPr>
      </w:pPr>
      <w:r>
        <w:rPr>
          <w:rFonts w:ascii="Arial" w:hAnsi="Arial"/>
          <w:sz w:val="19"/>
        </w:rPr>
        <w:t xml:space="preserve">Our amended and restated certificate of incorporation and our amended and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 a classified board of directors so that not all members of our board of directors are elected at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permit only the board of directors to establish the number of directors and fill vacancies on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directors may only be removed “for cause” and only with the approval of two-thirds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require super-majority voting to amend some provisions in our amended and restated certificate of incorporation and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authorize the issuance of “blank check” preferred stock that our board of directors could use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eliminate the ability of our stockholders to call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prohibit stockholder action by written consent, which requires all stockholder actions to be taken at a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prohibit cumulative voting;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establish advance notice requirements for nominations for election to our board of directors or for proposing matters that can be acted upon by stockholders at annual stockholder meetings. </w:t>
            </w:r>
          </w:p>
        </w:tc>
      </w:tr>
    </w:tbl>
    <w:p>
      <w:pPr>
        <w:pStyle w:val="TextBody"/>
        <w:bidi w:val="0"/>
        <w:spacing w:before="180" w:after="0"/>
        <w:jc w:val="left"/>
        <w:rPr>
          <w:rFonts w:ascii="Arial" w:hAnsi="Arial"/>
          <w:sz w:val="19"/>
        </w:rPr>
      </w:pPr>
      <w:r>
        <w:rPr>
          <w:rFonts w:ascii="Arial" w:hAnsi="Arial"/>
          <w:sz w:val="19"/>
        </w:rPr>
        <w:t xml:space="preserve">In addition, Section 203 of the General Corporation Law of the State of Delaware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before="40" w:after="0"/>
        <w:jc w:val="left"/>
        <w:rPr>
          <w:rFonts w:ascii="Arial" w:hAnsi="Arial"/>
          <w:sz w:val="19"/>
        </w:rPr>
      </w:pPr>
      <w:r>
        <w:rPr>
          <w:rFonts w:ascii="Arial" w:hAnsi="Arial"/>
          <w:sz w:val="19"/>
        </w:rPr>
        <w:t xml:space="preserve">Our amended and restated bylaws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bylaws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Section 22 of the Securities Act creates concurrent jurisdiction for federal and state courts over all claims brought to enforce any duty or liability created by the Securities Act or the rules and regulations thereunder. Our amended and restated bylaws will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80" w:after="0"/>
        <w:jc w:val="left"/>
        <w:rPr>
          <w:rFonts w:ascii="Arial" w:hAnsi="Arial"/>
          <w:sz w:val="19"/>
        </w:rPr>
      </w:pPr>
      <w:r>
        <w:rPr>
          <w:rFonts w:ascii="Arial" w:hAnsi="Arial"/>
          <w:sz w:val="19"/>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before="240" w:after="0"/>
        <w:jc w:val="left"/>
        <w:rPr>
          <w:rFonts w:ascii="Arial" w:hAnsi="Arial"/>
          <w:b/>
          <w:i/>
          <w:sz w:val="19"/>
        </w:rPr>
      </w:pPr>
      <w:r>
        <w:rPr>
          <w:rFonts w:ascii="Arial" w:hAnsi="Arial"/>
          <w:b/>
          <w:i/>
          <w:sz w:val="19"/>
        </w:rPr>
        <w:t xml:space="preserve">We do not currently intend to pay dividends on our common stock and, consequently, our stockholders’ ability to achieve a return on their investment will be dependent on appreciation of the value of our common stock. </w:t>
      </w:r>
    </w:p>
    <w:p>
      <w:pPr>
        <w:pStyle w:val="TextBody"/>
        <w:bidi w:val="0"/>
        <w:spacing w:before="40" w:after="0"/>
        <w:jc w:val="left"/>
        <w:rPr>
          <w:rFonts w:ascii="Arial" w:hAnsi="Arial"/>
          <w:sz w:val="19"/>
        </w:rPr>
      </w:pPr>
      <w:r>
        <w:rPr>
          <w:rFonts w:ascii="Arial" w:hAnsi="Arial"/>
          <w:sz w:val="19"/>
        </w:rPr>
        <w:t xml:space="preserve">We have never declared or paid any cash dividends on our common stock. We currently intend to retain all available funds and any future earnings to support operations and to finance the growth and development of our business. As a result, any investment return on our common stock will be dependent on increases in the value for our common stock, which is not certain. There is no guarantee that shares of our common stock will appreciate in value or even maintain the price at which stockholders have purchased their shares. </w:t>
      </w:r>
    </w:p>
    <w:p>
      <w:pPr>
        <w:pStyle w:val="TextBody"/>
        <w:bidi w:val="0"/>
        <w:spacing w:before="240" w:after="0"/>
        <w:jc w:val="left"/>
        <w:rPr>
          <w:rFonts w:ascii="Arial" w:hAnsi="Arial"/>
          <w:b/>
          <w:i/>
          <w:sz w:val="19"/>
        </w:rPr>
      </w:pPr>
      <w:r>
        <w:rPr>
          <w:rFonts w:ascii="Arial" w:hAnsi="Arial"/>
          <w:b/>
          <w:i/>
          <w:sz w:val="19"/>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before="40" w:after="0"/>
        <w:jc w:val="left"/>
        <w:rPr>
          <w:rFonts w:ascii="Arial" w:hAnsi="Arial"/>
          <w:sz w:val="19"/>
        </w:rPr>
      </w:pPr>
      <w:r>
        <w:rPr>
          <w:rFonts w:ascii="Arial" w:hAnsi="Arial"/>
          <w:sz w:val="19"/>
        </w:rPr>
        <w:t xml:space="preserve">The trading market for our common stock will be influenced by the research and reports that industry or securities analysts publish about us or our business. We do not have any control over the industry or securities analysts, or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content and opinions included in their reports.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nonclinical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240" w:after="0"/>
        <w:jc w:val="left"/>
        <w:rPr>
          <w:rFonts w:ascii="Arial" w:hAnsi="Arial"/>
          <w:b/>
          <w:sz w:val="20"/>
        </w:rPr>
      </w:pPr>
      <w:r>
        <w:rPr>
          <w:rFonts w:ascii="Arial" w:hAnsi="Arial"/>
          <w:b/>
          <w:sz w:val="20"/>
        </w:rPr>
        <w:t xml:space="preserve">General Risk Factors </w:t>
      </w:r>
    </w:p>
    <w:p>
      <w:pPr>
        <w:pStyle w:val="TextBody"/>
        <w:bidi w:val="0"/>
        <w:spacing w:before="240" w:after="0"/>
        <w:jc w:val="left"/>
        <w:rPr>
          <w:rFonts w:ascii="Arial" w:hAnsi="Arial"/>
          <w:b/>
          <w:i/>
          <w:sz w:val="19"/>
        </w:rPr>
      </w:pPr>
      <w:r>
        <w:rPr>
          <w:rFonts w:ascii="Arial" w:hAnsi="Arial"/>
          <w:b/>
          <w:i/>
          <w:sz w:val="19"/>
        </w:rPr>
        <w:t xml:space="preserve">Our current in-person operations are located in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40" w:after="0"/>
        <w:jc w:val="left"/>
        <w:rPr>
          <w:rFonts w:ascii="Arial" w:hAnsi="Arial"/>
          <w:sz w:val="19"/>
        </w:rPr>
      </w:pPr>
      <w:r>
        <w:rPr>
          <w:rFonts w:ascii="Arial" w:hAnsi="Arial"/>
          <w:sz w:val="19"/>
        </w:rPr>
        <w:t xml:space="preserve">Our in-person operations are located in our corporate headquarters and research and development facility in South San Francisco, California. Any unplanned event, such as flood, fire, explosion, earthquake, extreme weather condition, pandemic, medical epidemic, power shortage, telecommunication failure or other natural or manmade accidents or incidents that result in us being unable to fully utilize our facilities, or the manufacturing facilities of our CMOs may have a material and adverse effect on our ability to operate our business and have significant negative consequences on our financial and operating conditions. If our facilities, or the manufacturing facilities of our CMOs, are unable to operate because of an accident or incident or for any other reason, including an inability to use all or a significant portion of our headquarters, damages to critical infrastructure, such as our research facilities or the manufacturing facilities of our CMOs, or other disruptions to operations,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Our employees often conduct business outside of any facilities leased by us. These locations may be subject to additional security and other risk factors due to the limited control of our employees.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w:t>
      </w:r>
    </w:p>
    <w:p>
      <w:pPr>
        <w:pStyle w:val="TextBody"/>
        <w:bidi w:val="0"/>
        <w:spacing w:before="240" w:after="0"/>
        <w:jc w:val="left"/>
        <w:rPr>
          <w:rFonts w:ascii="Arial" w:hAnsi="Arial"/>
          <w:b/>
          <w:i/>
          <w:sz w:val="19"/>
        </w:rPr>
      </w:pPr>
      <w:r>
        <w:rPr>
          <w:rFonts w:ascii="Arial" w:hAnsi="Arial"/>
          <w:b/>
          <w:i/>
          <w:sz w:val="19"/>
        </w:rPr>
        <w:t xml:space="preserve">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40" w:after="0"/>
        <w:jc w:val="left"/>
        <w:rPr>
          <w:rFonts w:ascii="Arial" w:hAnsi="Arial"/>
          <w:sz w:val="19"/>
        </w:rPr>
      </w:pPr>
      <w:r>
        <w:rPr>
          <w:rFonts w:ascii="Arial" w:hAnsi="Arial"/>
          <w:sz w:val="19"/>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ongoing conflict in Ukraine and ongoing conflicts in the Middle East, which has recently included actions by Iran, Israel and the United States, may also adversely impact the financial markets and the global economy, and any economic countermeasures by the affected countries or others could exacerbate market and economic instability. Russia’s ongoing incursion of Ukraine has created extreme volatility in the global capital markets and is expected to have further global economic consequences, including disruptions of the global supply chain and energy markets; it is possible that ongoing conflicts in the Middle East may have similar effects. In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addition, adverse developments that affect financial institutions, such as events involving liquidity that are rumored or actual, have in the past and may in the future lead to market-wide liquidity problems. For example, in March 2023, Silicon Valley Bank (SVB), one of our banking partners, was closed by the California Department of Financial Protection and Innovation, which appointed the Federal Deposit Insurance Corporation (FDIC)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 liquidity may still occur in the future. We may maintain cash balances at third-party financial institutions in excess of the FDIC insurance limit and there is no guarantee that the federal government would provide access to uninsured funds in the future in the event of the closure of other banks or financial institutions, or that they would do so in a timely fashion. </w:t>
      </w:r>
    </w:p>
    <w:p>
      <w:pPr>
        <w:pStyle w:val="TextBody"/>
        <w:bidi w:val="0"/>
        <w:spacing w:before="180" w:after="0"/>
        <w:jc w:val="left"/>
        <w:rPr>
          <w:rFonts w:ascii="Arial" w:hAnsi="Arial"/>
          <w:sz w:val="19"/>
        </w:rPr>
      </w:pPr>
      <w:r>
        <w:rPr>
          <w:rFonts w:ascii="Arial" w:hAnsi="Arial"/>
          <w:sz w:val="19"/>
        </w:rPr>
        <w:t xml:space="preserve">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fluctuating interest rates have led to a decline in the trading value of previously issued government securities with interest rates below current market interest rates. </w:t>
      </w:r>
    </w:p>
    <w:p>
      <w:pPr>
        <w:pStyle w:val="TextBody"/>
        <w:bidi w:val="0"/>
        <w:spacing w:before="240" w:after="0"/>
        <w:jc w:val="left"/>
        <w:rPr>
          <w:rFonts w:ascii="Arial" w:hAnsi="Arial"/>
          <w:b/>
          <w:i/>
          <w:sz w:val="19"/>
        </w:rPr>
      </w:pPr>
      <w:r>
        <w:rPr>
          <w:rFonts w:ascii="Arial" w:hAnsi="Arial"/>
          <w:b/>
          <w:i/>
          <w:sz w:val="19"/>
        </w:rPr>
        <w:t>International trade policies, including tariffs, sanctions and trade barriers may adversely affect our business, financial condition, results of operations, and prospects.</w:t>
      </w:r>
    </w:p>
    <w:p>
      <w:pPr>
        <w:pStyle w:val="TextBody"/>
        <w:bidi w:val="0"/>
        <w:spacing w:before="40" w:after="0"/>
        <w:jc w:val="left"/>
        <w:rPr>
          <w:rFonts w:ascii="Arial" w:hAnsi="Arial"/>
          <w:sz w:val="19"/>
        </w:rPr>
      </w:pPr>
      <w:r>
        <w:rPr>
          <w:rFonts w:ascii="Arial" w:hAnsi="Arial"/>
          <w:sz w:val="19"/>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Following that investigation, the President announced a proclamation which will impose 100% tariffs on certain patented pharmaceutical products and associated pharmaceutical ingredients. We are assessing the potential impact of the proclamation on our business. </w:t>
      </w:r>
    </w:p>
    <w:p>
      <w:pPr>
        <w:pStyle w:val="TextBody"/>
        <w:bidi w:val="0"/>
        <w:spacing w:before="180" w:after="0"/>
        <w:jc w:val="left"/>
        <w:rPr>
          <w:rFonts w:ascii="Arial" w:hAnsi="Arial"/>
          <w:sz w:val="19"/>
        </w:rPr>
      </w:pPr>
      <w:r>
        <w:rPr>
          <w:rFonts w:ascii="Arial" w:hAnsi="Arial"/>
          <w:sz w:val="19"/>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the UK, United States, China, and Ireland. The DS for ipsoprubart is manufactured in the UK and ELA822 DS is manufactured in China. The DP for ipsoprubart is manufactured in the United States and ELA822 DP is manufactured in China. We also rely on specialized laboratory equipment, supplies, materials, and precursor compounds, all or part of which we believe may be ultimately sourced from multiple countries outside the United States, to advance our research and development efforts. </w:t>
      </w:r>
    </w:p>
    <w:p>
      <w:pPr>
        <w:pStyle w:val="TextBody"/>
        <w:bidi w:val="0"/>
        <w:spacing w:before="180" w:after="0"/>
        <w:jc w:val="left"/>
        <w:rPr>
          <w:rFonts w:ascii="Arial" w:hAnsi="Arial"/>
          <w:sz w:val="19"/>
        </w:rPr>
      </w:pPr>
      <w:r>
        <w:rPr>
          <w:rFonts w:ascii="Arial" w:hAnsi="Arial"/>
          <w:sz w:val="19"/>
        </w:rPr>
        <w:t xml:space="preserve">Current or future tariffs will result in increased research and development expenses, including with respect to increased costs associated with DS, DP,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80" w:after="0"/>
        <w:jc w:val="left"/>
        <w:rPr>
          <w:rFonts w:ascii="Arial" w:hAnsi="Arial"/>
          <w:sz w:val="19"/>
        </w:rPr>
      </w:pPr>
      <w:r>
        <w:rPr>
          <w:rFonts w:ascii="Arial" w:hAnsi="Arial"/>
          <w:sz w:val="19"/>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180" w:after="0"/>
        <w:jc w:val="left"/>
        <w:rPr>
          <w:rFonts w:ascii="Arial" w:hAnsi="Arial"/>
          <w:sz w:val="19"/>
        </w:rPr>
      </w:pPr>
      <w:r>
        <w:rPr>
          <w:rFonts w:ascii="Arial" w:hAnsi="Arial"/>
          <w:sz w:val="19"/>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registration statement. </w:t>
      </w:r>
    </w:p>
    <w:p>
      <w:pPr>
        <w:pStyle w:val="TextBody"/>
        <w:bidi w:val="0"/>
        <w:spacing w:before="240" w:after="0"/>
        <w:jc w:val="left"/>
        <w:rPr>
          <w:rFonts w:ascii="Arial" w:hAnsi="Arial"/>
          <w:b/>
          <w:i/>
          <w:sz w:val="19"/>
        </w:rPr>
      </w:pPr>
      <w:r>
        <w:rPr>
          <w:rFonts w:ascii="Arial" w:hAnsi="Arial"/>
          <w:b/>
          <w:i/>
          <w:sz w:val="19"/>
        </w:rPr>
        <w:t xml:space="preserve">We will incur significant increased costs as a result of operating as a public company, and our management will be required to devote substantial time to new compliance initiatives and corporate governance practices. </w:t>
      </w:r>
    </w:p>
    <w:p>
      <w:pPr>
        <w:pStyle w:val="TextBody"/>
        <w:bidi w:val="0"/>
        <w:spacing w:before="40" w:after="0"/>
        <w:jc w:val="left"/>
        <w:rPr>
          <w:rFonts w:ascii="Arial" w:hAnsi="Arial"/>
          <w:sz w:val="19"/>
        </w:rPr>
      </w:pPr>
      <w:r>
        <w:rPr>
          <w:rFonts w:ascii="Arial" w:hAnsi="Arial"/>
          <w:sz w:val="19"/>
        </w:rPr>
        <w:t xml:space="preserve">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If these requirements divert the attention of our management and personnel from other business concerns, they could have a material adverse effect on our prospects, business, financial condition and results of operations.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will decrease our net income or increase our net loss, and the increased costs may require us to reduce costs in other areas of our business. </w:t>
      </w:r>
    </w:p>
    <w:p>
      <w:pPr>
        <w:pStyle w:val="TextBody"/>
        <w:bidi w:val="0"/>
        <w:spacing w:before="180" w:after="0"/>
        <w:jc w:val="left"/>
        <w:rPr>
          <w:rFonts w:ascii="Arial" w:hAnsi="Arial"/>
          <w:sz w:val="19"/>
        </w:rPr>
      </w:pPr>
      <w:r>
        <w:rPr>
          <w:rFonts w:ascii="Arial" w:hAnsi="Arial"/>
          <w:sz w:val="19"/>
        </w:rPr>
        <w:t xml:space="preserve">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Arial" w:hAnsi="Arial"/>
          <w:b/>
          <w:i/>
          <w:sz w:val="19"/>
        </w:rPr>
      </w:pPr>
      <w:r>
        <w:rPr>
          <w:rFonts w:ascii="Arial" w:hAnsi="Arial"/>
          <w:b/>
          <w:i/>
          <w:sz w:val="19"/>
        </w:rPr>
        <w:t xml:space="preserve">We may be subject to securities litigation, which is expensive and could divert management attention. </w:t>
      </w:r>
    </w:p>
    <w:p>
      <w:pPr>
        <w:pStyle w:val="TextBody"/>
        <w:bidi w:val="0"/>
        <w:spacing w:before="40" w:after="0"/>
        <w:jc w:val="left"/>
        <w:rPr>
          <w:rFonts w:ascii="Arial" w:hAnsi="Arial"/>
          <w:sz w:val="19"/>
        </w:rPr>
      </w:pPr>
      <w:r>
        <w:rPr>
          <w:rFonts w:ascii="Arial" w:hAnsi="Arial"/>
          <w:sz w:val="19"/>
        </w:rPr>
        <w:t xml:space="preserve">The market price of our common stock is likely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have experienced volatility in the market price of their stock have been subject to securities class action litigation. We may be the target of this type of litigation in the future. Securities litigation against us could result in substantial costs, divert our management’s attention and resources from other business concerns and damage our reputation, which could seriously harm our business, financial condition, results of operations, and prospects.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240" w:after="0"/>
        <w:jc w:val="left"/>
        <w:rPr>
          <w:rFonts w:ascii="Arial" w:hAnsi="Arial"/>
          <w:b/>
          <w:i/>
          <w:sz w:val="19"/>
        </w:rPr>
      </w:pPr>
      <w:r>
        <w:rPr>
          <w:rFonts w:ascii="Arial" w:hAnsi="Arial"/>
          <w:b/>
          <w:i/>
          <w:sz w:val="19"/>
        </w:rPr>
        <w:t xml:space="preserve">We are an “emerging growth company” and a “smaller reporting company” and the reduced reporting requirements applicable to emerging growth companies or smaller reporting companies could make our common stock less attractive to investors. </w:t>
      </w:r>
    </w:p>
    <w:p>
      <w:pPr>
        <w:pStyle w:val="TextBody"/>
        <w:bidi w:val="0"/>
        <w:spacing w:before="40" w:after="0"/>
        <w:jc w:val="left"/>
        <w:rPr>
          <w:rFonts w:ascii="Arial" w:hAnsi="Arial"/>
          <w:sz w:val="19"/>
        </w:rPr>
      </w:pPr>
      <w:r>
        <w:rPr>
          <w:rFonts w:ascii="Arial" w:hAnsi="Arial"/>
          <w:sz w:val="19"/>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prospectus. </w:t>
      </w:r>
    </w:p>
    <w:p>
      <w:pPr>
        <w:pStyle w:val="TextBody"/>
        <w:bidi w:val="0"/>
        <w:spacing w:before="180" w:after="0"/>
        <w:jc w:val="left"/>
        <w:rPr>
          <w:rFonts w:ascii="Arial" w:hAnsi="Arial"/>
          <w:sz w:val="19"/>
        </w:rPr>
      </w:pPr>
      <w:r>
        <w:rPr>
          <w:rFonts w:ascii="Arial" w:hAnsi="Arial"/>
          <w:sz w:val="19"/>
        </w:rPr>
        <w:t xml:space="preserve">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w:t>
      </w:r>
    </w:p>
    <w:p>
      <w:pPr>
        <w:pStyle w:val="TextBody"/>
        <w:bidi w:val="0"/>
        <w:spacing w:before="180" w:after="0"/>
        <w:jc w:val="left"/>
        <w:rPr>
          <w:rFonts w:ascii="Arial" w:hAnsi="Arial"/>
          <w:sz w:val="19"/>
        </w:rPr>
      </w:pPr>
      <w:r>
        <w:rPr>
          <w:rFonts w:ascii="Arial" w:hAnsi="Arial"/>
          <w:sz w:val="19"/>
        </w:rPr>
        <w:t xml:space="preserve">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w:t>
      </w:r>
    </w:p>
    <w:p>
      <w:pPr>
        <w:pStyle w:val="TextBody"/>
        <w:bidi w:val="0"/>
        <w:spacing w:before="180" w:after="0"/>
        <w:jc w:val="left"/>
        <w:rPr>
          <w:rFonts w:ascii="Arial" w:hAnsi="Arial"/>
          <w:sz w:val="19"/>
        </w:rPr>
      </w:pPr>
      <w:r>
        <w:rPr>
          <w:rFonts w:ascii="Arial" w:hAnsi="Arial"/>
          <w:sz w:val="19"/>
        </w:rPr>
        <w:t xml:space="preserve">We are also a “smaller reporting company” as defined in the Exchange Act. We may continue to be a smaller reporting company after this offering if either (i) the market value of our common stock held by non-affiliates is less than $250.0 million, measured as of the last business day of our most recently completed second quarter or (ii) our annual revenue is less than $100.0 million during the most recently completed fiscal year and the market value of our common stock held by non-affiliates is less than $700.0 million. We may continue to be a smaller reporting company even after we cease to be an emerging growth company, so we may continue to rely on exemptions from certain disclosure requirements that are available to smaller reporting companies. Specifically, as a smaller reporting company we may choose to present only the two most recent fiscal years of audited financial statements, we are not required to comply with the auditor attestation requirements of Section 404 of the Sarbanes-Oxley Act and, similar to emerging growth companies, smaller reporting companies have reduced disclosure obligations regarding executive compensation. </w:t>
      </w:r>
    </w:p>
    <w:p>
      <w:pPr>
        <w:pStyle w:val="TextBody"/>
        <w:bidi w:val="0"/>
        <w:spacing w:before="240" w:after="0"/>
        <w:jc w:val="left"/>
        <w:rPr>
          <w:rFonts w:ascii="Arial" w:hAnsi="Arial"/>
          <w:b/>
          <w:i/>
          <w:sz w:val="19"/>
        </w:rPr>
      </w:pPr>
      <w:r>
        <w:rPr>
          <w:rFonts w:ascii="Arial" w:hAnsi="Arial"/>
          <w:b/>
          <w:i/>
          <w:sz w:val="19"/>
        </w:rPr>
        <w:t xml:space="preserve">If we fail to establish and maintain proper and effective internal control over financial reporting in the future, our ability to produce accurate and timely financial statements could be impaired, which could harm our operating results, investors’ views of us and, as a result, the value of our common stock. </w:t>
      </w:r>
    </w:p>
    <w:p>
      <w:pPr>
        <w:pStyle w:val="TextBody"/>
        <w:bidi w:val="0"/>
        <w:spacing w:before="40" w:after="0"/>
        <w:jc w:val="left"/>
        <w:rPr>
          <w:rFonts w:ascii="Arial" w:hAnsi="Arial"/>
          <w:sz w:val="19"/>
        </w:rPr>
      </w:pPr>
      <w:r>
        <w:rPr>
          <w:rFonts w:ascii="Arial" w:hAnsi="Arial"/>
          <w:sz w:val="19"/>
        </w:rPr>
        <w:t xml:space="preserve">Pursuant to Section 404 of the Sarbanes-Oxley Act, we will be required to furnish a report by our management on our internal control over financial reporting within our Annual Report on Form 10-K. However, while we remain 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emerging growth company, we will not be required to include an attestation report on internal control over financial reporting issued by our independent registered public accounting firm. Ensuring that we have adequate internal financial and accounting controls and procedures in place so that we can produce accurate financial statements on a timely basis is a costly and time-consuming effort that will need to be frequently evaluated. Our failure to maintain the effectiveness of our internal controls in accordance with the requirements of the Sarbanes-Oxley Act could have a material adverse effect on our business.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Nasdaq. </w:t>
      </w:r>
    </w:p>
    <w:p>
      <w:pPr>
        <w:pStyle w:val="TextBody"/>
        <w:bidi w:val="0"/>
        <w:spacing w:before="180" w:after="0"/>
        <w:jc w:val="left"/>
        <w:rPr>
          <w:rFonts w:ascii="Arial" w:hAnsi="Arial"/>
          <w:sz w:val="19"/>
        </w:rPr>
      </w:pPr>
      <w:r>
        <w:rPr>
          <w:rFonts w:ascii="Arial" w:hAnsi="Arial"/>
          <w:sz w:val="19"/>
        </w:rPr>
        <w:t xml:space="preserve">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financial statements could contain material misstatements that, when discovered in the future, could cause us to fail to meet our future reporting obligations and cause the price of our common stock to decline. </w:t>
      </w:r>
    </w:p>
    <w:p>
      <w:pPr>
        <w:pStyle w:val="TextBody"/>
        <w:bidi w:val="0"/>
        <w:spacing w:before="240" w:after="0"/>
        <w:jc w:val="left"/>
        <w:rPr>
          <w:rFonts w:ascii="Arial" w:hAnsi="Arial"/>
          <w:b/>
          <w:i/>
          <w:sz w:val="19"/>
        </w:rPr>
      </w:pPr>
      <w:r>
        <w:rPr>
          <w:rFonts w:ascii="Arial" w:hAnsi="Arial"/>
          <w:b/>
          <w:i/>
          <w:sz w:val="19"/>
        </w:rPr>
        <w:t xml:space="preserve">Our disclosure controls and procedures may not prevent or detect all errors or acts of fraud. </w:t>
      </w:r>
    </w:p>
    <w:p>
      <w:pPr>
        <w:pStyle w:val="TextBody"/>
        <w:bidi w:val="0"/>
        <w:spacing w:before="40" w:after="0"/>
        <w:jc w:val="left"/>
        <w:rPr>
          <w:rFonts w:ascii="Arial" w:hAnsi="Arial"/>
          <w:sz w:val="19"/>
        </w:rPr>
      </w:pPr>
      <w:r>
        <w:rPr>
          <w:rFonts w:ascii="Arial" w:hAnsi="Arial"/>
          <w:sz w:val="19"/>
        </w:rPr>
        <w:t xml:space="preserve">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80" w:after="0"/>
        <w:jc w:val="left"/>
        <w:rPr>
          <w:rFonts w:ascii="Arial" w:hAnsi="Arial"/>
          <w:sz w:val="19"/>
        </w:rPr>
      </w:pPr>
      <w:r>
        <w:rPr>
          <w:rFonts w:ascii="Arial" w:hAnsi="Arial"/>
          <w:sz w:val="19"/>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240" w:after="0"/>
        <w:jc w:val="left"/>
        <w:rPr>
          <w:rFonts w:ascii="Arial" w:hAnsi="Arial"/>
          <w:b/>
          <w:i/>
          <w:sz w:val="19"/>
        </w:rPr>
      </w:pPr>
      <w:r>
        <w:rPr>
          <w:rFonts w:ascii="Arial" w:hAnsi="Arial"/>
          <w:b/>
          <w:i/>
          <w:sz w:val="19"/>
        </w:rPr>
        <w:t xml:space="preserve">Our insurance policies may be inadequate, may not cover all of our potential liabilities and may potentially expose us to unrecoverable risks. </w:t>
      </w:r>
    </w:p>
    <w:p>
      <w:pPr>
        <w:pStyle w:val="TextBody"/>
        <w:bidi w:val="0"/>
        <w:spacing w:before="40" w:after="0"/>
        <w:jc w:val="left"/>
        <w:rPr>
          <w:rFonts w:ascii="Arial" w:hAnsi="Arial"/>
          <w:sz w:val="19"/>
        </w:rPr>
      </w:pPr>
      <w:r>
        <w:rPr>
          <w:rFonts w:ascii="Arial" w:hAnsi="Arial"/>
          <w:sz w:val="19"/>
        </w:rPr>
        <w:t xml:space="preserve">We do not carry insurance for all categories of risk that our business may encounter. Some of the policies we currently maintain include property, general liability, employee benefits liability, workers’ compensation, clinical trials/products liability, cyber liability,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5" w:name="toc61940_3"/>
      <w:bookmarkEnd w:id="5"/>
      <w:r>
        <w:rPr>
          <w:rFonts w:ascii="Arial" w:hAnsi="Arial"/>
          <w:b/>
          <w:sz w:val="20"/>
        </w:rPr>
        <w:t xml:space="preserve">SPECIAL NOTE REGARDING FORWARD-LOOKING STATEMENTS </w:t>
      </w:r>
    </w:p>
    <w:p>
      <w:pPr>
        <w:pStyle w:val="TextBody"/>
        <w:bidi w:val="0"/>
        <w:spacing w:before="360" w:after="0"/>
        <w:jc w:val="left"/>
        <w:rPr>
          <w:rFonts w:ascii="Arial" w:hAnsi="Arial"/>
          <w:sz w:val="19"/>
        </w:rPr>
      </w:pPr>
      <w:r>
        <w:rPr>
          <w:rFonts w:ascii="Arial" w:hAnsi="Arial"/>
          <w:sz w:val="19"/>
        </w:rPr>
        <w:t xml:space="preserve">This prospectus contains forward-looking statements about us and our industry that involve substantial risks and uncertainties. All statements other than statements of historical fact contained in this prospectus, including statements regarding our plans, objectives, goals, strategies, future events, future revenues or performance, financing needs, plans, or intentions relating to our product candidates and development programs, and markets and business trends are forward-looking statements. We have based these forward-looking statements largely on our current expectations and projections. In some cases, you can identify forward-looking statements because they contain words such as “aim,” “anticipate,” “assume,” “believe,” “can,” “contemplate,” “continue,” “could,” “design,” “due,” “estimate,” “expect,” “goal,” “intend,” “may,” “might,” “objective,” “plan,” “positioned,” “potential,” “predict,” “project,” “seek,” “shall,” “should,” “target,” “will,” “would,” or the negative of these words or other similar terms or expressions. </w:t>
      </w:r>
    </w:p>
    <w:p>
      <w:pPr>
        <w:pStyle w:val="TextBody"/>
        <w:bidi w:val="0"/>
        <w:spacing w:before="180" w:after="0"/>
        <w:jc w:val="left"/>
        <w:rPr>
          <w:rFonts w:ascii="Arial" w:hAnsi="Arial"/>
          <w:sz w:val="19"/>
        </w:rPr>
      </w:pPr>
      <w:r>
        <w:rPr>
          <w:rFonts w:ascii="Arial" w:hAnsi="Arial"/>
          <w:sz w:val="19"/>
        </w:rPr>
        <w:t xml:space="preserve">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initiation, timing, progress, and results of our research and development programs,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ability to develop and advance ipsoprubart and ELA822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of and costs involved in obtaining and maintaining regulatory approval of ipsoprubart and ELA822 and any future product candidates that we may identify or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beneficial characteristics, including potential safety, efficacy, and therapeutic effects of ipsoprubart and ELA822;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efficiently and cost-effectively conduct our current and future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obtain funding for our operations necessary to complete further development and, if approved, commercialization of ipsoprubart and ELA822;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ability to identify and develop ipsoprubart and ELA822 for the treatment of additional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performance of our third-party service providers, including our suppliers and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rate and degree of market acceptance and clinical utility for ipsoprubart, ELA822 and any other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effects of competition with respect to ipsoprubart and ELA822 or any other product candidates we may develop, as well as innovations by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estimates regarding the potential market opportunities and the number of patients for ipsoprubart, ELA822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implementation of our strategic plans for our business, ipsoprubart, ELA822, and any future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our intellectual property position, including the scope of protection we are able to establish, maintain, defend, and enforce for intellectual property rights covering ipsoprubart, ELA822, and any future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regulatory and legal developments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ability to attract and retain employees and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accuracy of our estimates regarding future expenses, future revenue, capital requirements, and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period over which we estimate our existing cash, cash equivalents, and marketable securities will be sufficient to fund our future operating expenses and capital expenditure requirements;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expectations regarding the impact of global health pandemics, geopolitical conflicts, and economic uncertainty, including interest rate changes and inflation on our business and operations, including clinical trials, collaborators, CMOs,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expectations regarding the period during which we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our anticipated use of the proceeds from this offering. </w:t>
            </w:r>
          </w:p>
        </w:tc>
      </w:tr>
    </w:tbl>
    <w:p>
      <w:pPr>
        <w:pStyle w:val="TextBody"/>
        <w:bidi w:val="0"/>
        <w:spacing w:before="180" w:after="0"/>
        <w:jc w:val="left"/>
        <w:rPr>
          <w:rFonts w:ascii="Arial" w:hAnsi="Arial"/>
          <w:sz w:val="19"/>
        </w:rPr>
      </w:pPr>
      <w:r>
        <w:rPr>
          <w:rFonts w:ascii="Arial" w:hAnsi="Arial"/>
          <w:sz w:val="19"/>
        </w:rPr>
        <w:t xml:space="preserve">These forward-looking statements reflect our management’s beliefs and views with respect to future events and are based on estimates and assumptions as of the date of this prospectus and are subject to risks and uncertainties.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prospectus in greater detail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t>
      </w:r>
    </w:p>
    <w:p>
      <w:pPr>
        <w:pStyle w:val="TextBody"/>
        <w:bidi w:val="0"/>
        <w:spacing w:before="180" w:after="0"/>
        <w:jc w:val="left"/>
        <w:rPr>
          <w:rFonts w:ascii="Arial" w:hAnsi="Arial"/>
          <w:sz w:val="19"/>
        </w:rPr>
      </w:pPr>
      <w:r>
        <w:rPr>
          <w:rFonts w:ascii="Arial" w:hAnsi="Arial"/>
          <w:sz w:val="19"/>
        </w:rPr>
        <w:t xml:space="preserve">You should carefully read this prospectus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180" w:after="0"/>
        <w:jc w:val="left"/>
        <w:rPr>
          <w:rFonts w:ascii="Arial" w:hAnsi="Arial"/>
          <w:sz w:val="19"/>
        </w:rPr>
      </w:pPr>
      <w:r>
        <w:rPr>
          <w:rFonts w:ascii="Arial" w:hAnsi="Arial"/>
          <w:sz w:val="19"/>
        </w:rPr>
        <w:t xml:space="preserve">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6" w:name="toc61940_4"/>
      <w:bookmarkEnd w:id="6"/>
      <w:r>
        <w:rPr>
          <w:rFonts w:ascii="Arial" w:hAnsi="Arial"/>
          <w:b/>
          <w:sz w:val="20"/>
        </w:rPr>
        <w:t xml:space="preserve">MARKET, INDUSTRY, AND OTHER DATA </w:t>
      </w:r>
    </w:p>
    <w:p>
      <w:pPr>
        <w:pStyle w:val="TextBody"/>
        <w:bidi w:val="0"/>
        <w:spacing w:before="360" w:after="0"/>
        <w:jc w:val="left"/>
        <w:rPr>
          <w:rFonts w:ascii="Arial" w:hAnsi="Arial"/>
          <w:sz w:val="19"/>
        </w:rPr>
      </w:pPr>
      <w:r>
        <w:rPr>
          <w:rFonts w:ascii="Arial" w:hAnsi="Arial"/>
          <w:sz w:val="19"/>
        </w:rPr>
        <w:t xml:space="preserve">Certain market, industry, and competitive data included in this prospectus were obtained from our own internal estimates and research, as well as from publicly available information, reports of governmental agencies, and industry and academic publications, and research conducted by third parties. In some cases, we do not expressly refer to the sources from which this data is derived. Information that is based on estimates, forecasts, projections, market research, or similar methodologies is inherently subject to uncertainties and involves a number of assumptions and limitations; as a result, actual events or circumstances may differ materially from events and circumstances that are assumed in this information, and you are cautioned not to give undue weight to such information. </w:t>
      </w:r>
    </w:p>
    <w:p>
      <w:pPr>
        <w:pStyle w:val="TextBody"/>
        <w:bidi w:val="0"/>
        <w:spacing w:before="180" w:after="0"/>
        <w:jc w:val="left"/>
        <w:rPr>
          <w:rFonts w:ascii="Arial" w:hAnsi="Arial"/>
          <w:sz w:val="19"/>
        </w:rPr>
      </w:pPr>
      <w:r>
        <w:rPr>
          <w:rFonts w:ascii="Arial" w:hAnsi="Arial"/>
          <w:sz w:val="19"/>
        </w:rPr>
        <w:t xml:space="preserve">The industry in which we operate is subject to a high degree of uncertainty and risk due to a variety of factors, including those described in the section titled “Risk Factors.” These and other factors could cause results to differ materially from those expressed in estimates made by third parties or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7" w:name="toc61940_5"/>
      <w:bookmarkEnd w:id="7"/>
      <w:r>
        <w:rPr>
          <w:rFonts w:ascii="Arial" w:hAnsi="Arial"/>
          <w:b/>
          <w:sz w:val="20"/>
        </w:rPr>
        <w:t xml:space="preserve">DIVIDEND POLICY </w:t>
      </w:r>
    </w:p>
    <w:p>
      <w:pPr>
        <w:pStyle w:val="TextBody"/>
        <w:bidi w:val="0"/>
        <w:spacing w:before="360" w:after="0"/>
        <w:jc w:val="left"/>
        <w:rPr>
          <w:rFonts w:ascii="Arial" w:hAnsi="Arial"/>
          <w:sz w:val="19"/>
        </w:rPr>
      </w:pPr>
      <w:r>
        <w:rPr>
          <w:rFonts w:ascii="Arial" w:hAnsi="Arial"/>
          <w:sz w:val="19"/>
        </w:rPr>
        <w:t xml:space="preserve">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8" w:name="toc61940_6"/>
      <w:bookmarkEnd w:id="8"/>
      <w:r>
        <w:rPr>
          <w:rFonts w:ascii="Arial" w:hAnsi="Arial"/>
          <w:b/>
          <w:sz w:val="20"/>
        </w:rPr>
        <w:t xml:space="preserve">USE OF PROCEEDS </w:t>
      </w:r>
    </w:p>
    <w:p>
      <w:pPr>
        <w:pStyle w:val="TextBody"/>
        <w:bidi w:val="0"/>
        <w:spacing w:before="360" w:after="0"/>
        <w:jc w:val="left"/>
        <w:rPr>
          <w:rFonts w:ascii="Arial" w:hAnsi="Arial"/>
          <w:sz w:val="19"/>
        </w:rPr>
      </w:pPr>
      <w:r>
        <w:rPr>
          <w:rFonts w:ascii="Arial" w:hAnsi="Arial"/>
          <w:sz w:val="19"/>
        </w:rPr>
        <w:t xml:space="preserve">We estimate that we will receive net proceeds from this offering of approximately $     million (or approximately $     million if the underwriters exercise their option to purchase additional shares in full) assuming an initial public offering price of $     per share of our common stock, which is the midpoint of the price range set forth on the cover page of this prospectus, after deducting the estimated underwriting discounts and commissions and estimated offering expenses payable by us. </w:t>
      </w:r>
    </w:p>
    <w:p>
      <w:pPr>
        <w:pStyle w:val="TextBody"/>
        <w:bidi w:val="0"/>
        <w:spacing w:before="180" w:after="0"/>
        <w:jc w:val="left"/>
        <w:rPr>
          <w:rFonts w:ascii="Arial" w:hAnsi="Arial"/>
          <w:sz w:val="19"/>
        </w:rPr>
      </w:pPr>
      <w:r>
        <w:rPr>
          <w:rFonts w:ascii="Arial" w:hAnsi="Arial"/>
          <w:sz w:val="19"/>
        </w:rPr>
        <w:t xml:space="preserve">Each $1.00 increase (decrease) in the assumed initial public offering price of $     per share, which is the midpoint of the price range set forth on the cover page of this prospectus, would increase (decrease) the net proceeds to us from this offering by approximately $     million, assuming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Similarly, each one million share increase (decrease) in the number of shares offered by us would increase (decrease) the net proceeds to us from this offering by approximately $     million, assuming that the assumed initial offering price of $     per share, which is the midpoint of the price range set forth on the cover page of this prospectus, remains the same, and after deducting the estimated underwriting discounts and commissions and estimated offering expenses payable by us. We do not expect that a change in the initial price to the public or the number of shares by these amounts would have a material effect on the uses of the proceeds from this offering, although it may accelerate the time at which we will need to seek additional capital. </w:t>
      </w:r>
    </w:p>
    <w:p>
      <w:pPr>
        <w:pStyle w:val="TextBody"/>
        <w:bidi w:val="0"/>
        <w:spacing w:before="180" w:after="0"/>
        <w:jc w:val="left"/>
        <w:rPr>
          <w:rFonts w:ascii="Arial" w:hAnsi="Arial"/>
          <w:sz w:val="19"/>
        </w:rPr>
      </w:pPr>
      <w:r>
        <w:rPr>
          <w:rFonts w:ascii="Arial" w:hAnsi="Arial"/>
          <w:sz w:val="19"/>
        </w:rPr>
        <w:t xml:space="preserve">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cash equivalents, and marketable securities,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approximately $    million to    ;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approximately $    million to    ;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remaining amounts for other research and development activities, as well as for working capital and other general corporate purposes. </w:t>
            </w:r>
          </w:p>
        </w:tc>
      </w:tr>
    </w:tbl>
    <w:p>
      <w:pPr>
        <w:pStyle w:val="TextBody"/>
        <w:bidi w:val="0"/>
        <w:spacing w:before="180" w:after="0"/>
        <w:jc w:val="left"/>
        <w:rPr>
          <w:rFonts w:ascii="Arial" w:hAnsi="Arial"/>
          <w:sz w:val="19"/>
        </w:rPr>
      </w:pPr>
      <w:r>
        <w:rPr>
          <w:rFonts w:ascii="Arial" w:hAnsi="Arial"/>
          <w:sz w:val="19"/>
        </w:rPr>
        <w:t xml:space="preserve">We may use a portion of the net proceeds for strategic investments in complementary businesses, products, technologies, or assets. However, we do not have agreements or commitments to enter into any such acquisitions or investments at this time. </w:t>
      </w:r>
    </w:p>
    <w:p>
      <w:pPr>
        <w:pStyle w:val="TextBody"/>
        <w:bidi w:val="0"/>
        <w:spacing w:before="180" w:after="0"/>
        <w:jc w:val="left"/>
        <w:rPr>
          <w:rFonts w:ascii="Arial" w:hAnsi="Arial"/>
          <w:sz w:val="19"/>
        </w:rPr>
      </w:pPr>
      <w:r>
        <w:rPr>
          <w:rFonts w:ascii="Arial" w:hAnsi="Arial"/>
          <w:sz w:val="19"/>
        </w:rPr>
        <w:t xml:space="preserve">Based on our current operating plans, we estimate that our existing cash, cash equivalents, and marketable securities as of the date of this prospectus, together with the estimated net proceeds from this offering, will be sufficient to fund our projected operating expenses and capital expenditure requirements into    . We have based this estimate on assumptions that may prove to be wrong, and we could use our available capital resources sooner than we expect. </w:t>
      </w:r>
    </w:p>
    <w:p>
      <w:pPr>
        <w:pStyle w:val="TextBody"/>
        <w:bidi w:val="0"/>
        <w:spacing w:before="180" w:after="0"/>
        <w:jc w:val="left"/>
        <w:rPr>
          <w:rFonts w:ascii="Arial" w:hAnsi="Arial"/>
          <w:sz w:val="19"/>
        </w:rPr>
      </w:pPr>
      <w:r>
        <w:rPr>
          <w:rFonts w:ascii="Arial" w:hAnsi="Arial"/>
          <w:sz w:val="19"/>
        </w:rPr>
        <w:t xml:space="preserve">The expected net proceeds from this offering, together with our existing cash, cash equivalents, and marketable securities, will not be sufficient for us to fund our product candidates through clinical trials, regulatory approval, and commercialization, and we will need to raise substantial additional capital in order to do so. </w:t>
      </w:r>
    </w:p>
    <w:p>
      <w:pPr>
        <w:pStyle w:val="TextBody"/>
        <w:bidi w:val="0"/>
        <w:spacing w:before="180" w:after="0"/>
        <w:jc w:val="left"/>
        <w:rPr>
          <w:rFonts w:ascii="Arial" w:hAnsi="Arial"/>
          <w:sz w:val="19"/>
        </w:rPr>
      </w:pPr>
      <w:r>
        <w:rPr>
          <w:rFonts w:ascii="Arial" w:hAnsi="Arial"/>
          <w:sz w:val="19"/>
        </w:rPr>
        <w:t xml:space="preserve">We cannot predict with certainty all of the particular uses for the proceeds of this offering or the amounts that we will actually spend on the uses set forth above. Our management will have broad discretion over the use of the net proceeds from this offering. The amounts and timing of our actual use of the net proceeds will vary depending on numerous factors, including the progress, cost, and results of our preclinical and clinical development programs, our ability to obtain additional financing, and other factors described under “Risk Factors” in this prospectus, as well as the amount of cash used in our operations and any unforeseen cash needs. We may find it necessary or advisable to use the net proceeds for other purposes, and investors will be relying on the judgment of our management regarding the application of those net proceeds.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Pending the use of proceeds from this offering described above, we intend to invest the net proceeds in one or more of the following: money market funds, short- and intermediate-term, interest-bearing, investment-grade securities,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9" w:name="toc61940_7"/>
      <w:bookmarkEnd w:id="9"/>
      <w:r>
        <w:rPr>
          <w:rFonts w:ascii="Arial" w:hAnsi="Arial"/>
          <w:b/>
          <w:sz w:val="20"/>
        </w:rPr>
        <w:t xml:space="preserve">CAPITALIZATION </w:t>
      </w:r>
    </w:p>
    <w:p>
      <w:pPr>
        <w:pStyle w:val="TextBody"/>
        <w:bidi w:val="0"/>
        <w:spacing w:before="360" w:after="0"/>
        <w:jc w:val="left"/>
        <w:rPr>
          <w:rFonts w:ascii="Arial" w:hAnsi="Arial"/>
          <w:sz w:val="19"/>
        </w:rPr>
      </w:pPr>
      <w:r>
        <w:rPr>
          <w:rFonts w:ascii="Arial" w:hAnsi="Arial"/>
          <w:sz w:val="19"/>
        </w:rPr>
        <w:t xml:space="preserve">The following table sets forth our cash, cash equivalents, and marketable securities and our capitalization as of June 30,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pro forma basis, giving effect to (i) the automatic conversion of all outstanding shares of our redeemable convertible preferred stock as of June 30, 2026 into 59,114,361 shares of our common stock immediately prior to the closing of this offering and the related reclassification of the carrying value of our redeemable convertible preferred stock to permanent equity in connection with the closing of this offering and (ii) the filing and effectiveness of our amended and restated certificate of incorporation upon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pro forma as adjusted basis, giving effect to (i) the pro forma adjustments set forth above and (ii) the issuance and sale of shares of our common stock in this offering at the assumed initial public offering price of $    per share, which is the midpoint of the price range set forth on the cover page of this prospectus, after deducting the estimated underwriting discounts and commissions and estimated offering expenses payable by us. </w:t>
            </w:r>
          </w:p>
        </w:tc>
      </w:tr>
    </w:tbl>
    <w:p>
      <w:pPr>
        <w:pStyle w:val="TextBody"/>
        <w:bidi w:val="0"/>
        <w:spacing w:before="180" w:after="0"/>
        <w:jc w:val="left"/>
        <w:rPr>
          <w:rFonts w:ascii="Arial" w:hAnsi="Arial"/>
          <w:sz w:val="19"/>
        </w:rPr>
      </w:pPr>
      <w:r>
        <w:rPr>
          <w:rFonts w:ascii="Arial" w:hAnsi="Arial"/>
          <w:sz w:val="19"/>
        </w:rPr>
        <w:t xml:space="preserve">The pro forma and pro forma as adjusted information below is illustrative only, and our cash, cash equivalents, and marketable securities and capitalization following the closing of this offering will be adjusted based on the actual initial public offering price and other terms of this offering determined at pricing. You should read the information in this table together with our financial statements and the related notes included elsewhere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56"/>
        <w:gridCol w:w="143"/>
        <w:gridCol w:w="147"/>
        <w:gridCol w:w="926"/>
        <w:gridCol w:w="155"/>
        <w:gridCol w:w="84"/>
        <w:gridCol w:w="207"/>
        <w:gridCol w:w="1298"/>
        <w:gridCol w:w="155"/>
        <w:gridCol w:w="84"/>
        <w:gridCol w:w="224"/>
        <w:gridCol w:w="1661"/>
        <w:gridCol w:w="65"/>
      </w:tblGrid>
      <w:tr>
        <w:trPr/>
        <w:tc>
          <w:tcPr>
            <w:tcW w:w="505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bidi w:val="0"/>
              <w:spacing w:before="0" w:after="283"/>
              <w:jc w:val="left"/>
              <w:rPr>
                <w:b/>
              </w:rPr>
            </w:pPr>
            <w:r>
              <w:rPr>
                <w:b/>
              </w:rPr>
              <w:t>(in thousands, except share and per share data)</w:t>
            </w:r>
          </w:p>
        </w:tc>
        <w:tc>
          <w:tcPr>
            <w:tcW w:w="143" w:type="dxa"/>
            <w:tcBorders/>
            <w:vAlign w:val="bottom"/>
          </w:tcPr>
          <w:p>
            <w:pPr>
              <w:pStyle w:val="TableContents"/>
              <w:bidi w:val="0"/>
              <w:spacing w:before="0" w:after="283"/>
              <w:jc w:val="left"/>
              <w:rPr/>
            </w:pPr>
            <w:r>
              <w:rPr/>
              <w:t>  </w:t>
            </w:r>
          </w:p>
        </w:tc>
        <w:tc>
          <w:tcPr>
            <w:tcW w:w="4941" w:type="dxa"/>
            <w:gridSpan w:val="10"/>
            <w:tcBorders>
              <w:bottom w:val="single" w:sz="2" w:space="0" w:color="000000"/>
            </w:tcBorders>
            <w:tcMar>
              <w:bottom w:w="28" w:type="dxa"/>
            </w:tcMar>
            <w:vAlign w:val="bottom"/>
          </w:tcPr>
          <w:p>
            <w:pPr>
              <w:pStyle w:val="TableContents"/>
              <w:bidi w:val="0"/>
              <w:spacing w:before="0" w:after="283"/>
              <w:jc w:val="center"/>
              <w:rPr/>
            </w:pPr>
            <w:r>
              <w:rPr>
                <w:b/>
              </w:rPr>
              <w:t>AS OF JUNE 30, 2026</w:t>
            </w:r>
            <w:r>
              <w:rPr/>
              <w:br/>
            </w:r>
            <w:r>
              <w:rPr>
                <w:b/>
              </w:rPr>
              <w:t>(UNAUDITED)</w:t>
            </w:r>
          </w:p>
        </w:tc>
        <w:tc>
          <w:tcPr>
            <w:tcW w:w="65" w:type="dxa"/>
            <w:tcBorders/>
            <w:vAlign w:val="bottom"/>
          </w:tcPr>
          <w:p>
            <w:pPr>
              <w:pStyle w:val="TableContents"/>
              <w:bidi w:val="0"/>
              <w:spacing w:before="0" w:after="283"/>
              <w:jc w:val="left"/>
              <w:rPr/>
            </w:pPr>
            <w:r>
              <w:rPr/>
              <w:t> </w:t>
            </w:r>
          </w:p>
        </w:tc>
      </w:tr>
      <w:tr>
        <w:trPr/>
        <w:tc>
          <w:tcPr>
            <w:tcW w:w="505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5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 AS</w:t>
              <w:br/>
              <w:t>ADJUSTED (1)</w:t>
            </w:r>
          </w:p>
        </w:tc>
        <w:tc>
          <w:tcPr>
            <w:tcW w:w="65" w:type="dxa"/>
            <w:tcBorders/>
            <w:vAlign w:val="bottom"/>
          </w:tcPr>
          <w:p>
            <w:pPr>
              <w:pStyle w:val="TableContents"/>
              <w:bidi w:val="0"/>
              <w:spacing w:before="0" w:after="283"/>
              <w:jc w:val="left"/>
              <w:rPr/>
            </w:pPr>
            <w:r>
              <w:rPr/>
              <w:t> </w:t>
            </w:r>
          </w:p>
        </w:tc>
      </w:tr>
      <w:tr>
        <w:trPr/>
        <w:tc>
          <w:tcPr>
            <w:tcW w:w="5056" w:type="dxa"/>
            <w:tcBorders/>
            <w:shd w:fill="CCEEFF" w:val="clear"/>
          </w:tcPr>
          <w:p>
            <w:pPr>
              <w:pStyle w:val="TableContents"/>
              <w:bidi w:val="0"/>
              <w:spacing w:before="0" w:after="0"/>
              <w:jc w:val="left"/>
              <w:rPr>
                <w:rFonts w:ascii="Arial" w:hAnsi="Arial"/>
                <w:sz w:val="19"/>
              </w:rPr>
            </w:pPr>
            <w:r>
              <w:rPr>
                <w:rFonts w:ascii="Arial" w:hAnsi="Arial"/>
                <w:sz w:val="19"/>
              </w:rPr>
              <w:t>Cash, cash equivalents, and marketable securities</w:t>
            </w:r>
          </w:p>
        </w:tc>
        <w:tc>
          <w:tcPr>
            <w:tcW w:w="14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97,725</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97,725</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166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05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66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056" w:type="dxa"/>
            <w:tcBorders/>
          </w:tcPr>
          <w:p>
            <w:pPr>
              <w:pStyle w:val="TableContents"/>
              <w:bidi w:val="0"/>
              <w:spacing w:before="0" w:after="0"/>
              <w:jc w:val="left"/>
              <w:rPr>
                <w:rFonts w:ascii="Arial" w:hAnsi="Arial"/>
                <w:sz w:val="19"/>
              </w:rPr>
            </w:pPr>
            <w:r>
              <w:rPr>
                <w:rFonts w:ascii="Arial" w:hAnsi="Arial"/>
                <w:sz w:val="19"/>
              </w:rPr>
              <w:t>Series A redeemable convertible preferred stock, $0.0001 par value; 22,601,626 shares authorized, issued and outstanding, actual; no shares authorized, issued, or outstanding, pro forma and pro forma as adjusted</w:t>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34,650</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66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056" w:type="dxa"/>
            <w:tcBorders/>
            <w:shd w:fill="CCEEFF" w:val="clear"/>
          </w:tcPr>
          <w:p>
            <w:pPr>
              <w:pStyle w:val="TableContents"/>
              <w:bidi w:val="0"/>
              <w:spacing w:before="0" w:after="0"/>
              <w:jc w:val="left"/>
              <w:rPr>
                <w:rFonts w:ascii="Arial" w:hAnsi="Arial"/>
                <w:sz w:val="19"/>
              </w:rPr>
            </w:pPr>
            <w:r>
              <w:rPr>
                <w:rFonts w:ascii="Arial" w:hAnsi="Arial"/>
                <w:sz w:val="19"/>
              </w:rPr>
              <w:t>Series B redeemable convertible preferred stock, $0.0001 par value; 9,309,492 shares authorized, issued and outstanding, actual; no shares authorized, issued, or outstanding, pro forma and pro forma as adjusted</w:t>
            </w:r>
          </w:p>
        </w:tc>
        <w:tc>
          <w:tcPr>
            <w:tcW w:w="14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83,836</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66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056" w:type="dxa"/>
            <w:tcBorders/>
          </w:tcPr>
          <w:p>
            <w:pPr>
              <w:pStyle w:val="TableContents"/>
              <w:bidi w:val="0"/>
              <w:spacing w:before="0" w:after="0"/>
              <w:jc w:val="left"/>
              <w:rPr>
                <w:rFonts w:ascii="Arial" w:hAnsi="Arial"/>
                <w:sz w:val="19"/>
              </w:rPr>
            </w:pPr>
            <w:r>
              <w:rPr>
                <w:rFonts w:ascii="Arial" w:hAnsi="Arial"/>
                <w:sz w:val="19"/>
              </w:rPr>
              <w:t>Series C redeemable convertible preferred stock, $0.001 par value; 27,203,243 shares authorized, issued and outstanding, actual; no shares authorized, issued, or outstanding, pro forma and pro forma as adjusted</w:t>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192,685</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66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056" w:type="dxa"/>
            <w:tcBorders/>
            <w:shd w:fill="CCEEFF" w:val="clear"/>
          </w:tcPr>
          <w:p>
            <w:pPr>
              <w:pStyle w:val="TableContents"/>
              <w:bidi w:val="0"/>
              <w:spacing w:before="0" w:after="0"/>
              <w:jc w:val="left"/>
              <w:rPr>
                <w:rFonts w:ascii="Arial" w:hAnsi="Arial"/>
                <w:sz w:val="19"/>
              </w:rPr>
            </w:pPr>
            <w:r>
              <w:rPr>
                <w:rFonts w:ascii="Arial" w:hAnsi="Arial"/>
                <w:sz w:val="19"/>
              </w:rPr>
              <w:t>Stockholders’ deficit:</w:t>
            </w:r>
          </w:p>
        </w:tc>
        <w:tc>
          <w:tcPr>
            <w:tcW w:w="14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66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056" w:type="dxa"/>
            <w:tcBorders/>
          </w:tcPr>
          <w:p>
            <w:pPr>
              <w:pStyle w:val="TableContents"/>
              <w:bidi w:val="0"/>
              <w:spacing w:before="0" w:after="0"/>
              <w:jc w:val="left"/>
              <w:rPr>
                <w:rFonts w:ascii="Arial" w:hAnsi="Arial"/>
                <w:sz w:val="19"/>
              </w:rPr>
            </w:pPr>
            <w:r>
              <w:rPr>
                <w:rFonts w:ascii="Arial" w:hAnsi="Arial"/>
                <w:sz w:val="19"/>
              </w:rPr>
              <w:t>Preferred stock, $0.0001 par value; no shares authorized, issued, or outstanding, actual;    shares authorized and no shares issued or outstanding, pro forma and pro forma as adjusted</w:t>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66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056" w:type="dxa"/>
            <w:tcBorders/>
            <w:shd w:fill="CCEEFF" w:val="clear"/>
          </w:tcPr>
          <w:p>
            <w:pPr>
              <w:pStyle w:val="TableContents"/>
              <w:bidi w:val="0"/>
              <w:spacing w:before="0" w:after="0"/>
              <w:jc w:val="left"/>
              <w:rPr>
                <w:rFonts w:ascii="Arial" w:hAnsi="Arial"/>
                <w:sz w:val="19"/>
              </w:rPr>
            </w:pPr>
            <w:r>
              <w:rPr>
                <w:rFonts w:ascii="Arial" w:hAnsi="Arial"/>
                <w:sz w:val="19"/>
              </w:rPr>
              <w:t>Common stock, $0.0001 par value; 71,000,000 shares authorized, 44,000 shares issued and outstanding, actual;    shares authorized, pro forma and pro forma as adjusted; 59,158,361 shares issued and outstanding, pro forma;    shares issued and outstanding, pro forma as adjusted</w:t>
            </w:r>
          </w:p>
        </w:tc>
        <w:tc>
          <w:tcPr>
            <w:tcW w:w="14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66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056" w:type="dxa"/>
            <w:tcBorders/>
          </w:tcPr>
          <w:p>
            <w:pPr>
              <w:pStyle w:val="TableContents"/>
              <w:bidi w:val="0"/>
              <w:spacing w:before="0" w:after="0"/>
              <w:jc w:val="left"/>
              <w:rPr>
                <w:rFonts w:ascii="Arial" w:hAnsi="Arial"/>
                <w:sz w:val="19"/>
              </w:rPr>
            </w:pPr>
            <w:r>
              <w:rPr>
                <w:rFonts w:ascii="Arial" w:hAnsi="Arial"/>
                <w:sz w:val="19"/>
              </w:rPr>
              <w:t>Additional paid-in capital</w:t>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2,448</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313,613</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66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056"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14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66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056" w:type="dxa"/>
            <w:tcBorders/>
          </w:tcPr>
          <w:p>
            <w:pPr>
              <w:pStyle w:val="TableContents"/>
              <w:bidi w:val="0"/>
              <w:spacing w:before="0" w:after="0"/>
              <w:jc w:val="left"/>
              <w:rPr>
                <w:rFonts w:ascii="Arial" w:hAnsi="Arial"/>
                <w:sz w:val="19"/>
              </w:rPr>
            </w:pPr>
            <w:r>
              <w:rPr>
                <w:rFonts w:ascii="Arial" w:hAnsi="Arial"/>
                <w:sz w:val="19"/>
              </w:rPr>
              <w:t>Accumulated other comprehensive income (loss)</w:t>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66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6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056" w:type="dxa"/>
            <w:tcBorders/>
            <w:shd w:fill="CCEEFF" w:val="clear"/>
          </w:tcPr>
          <w:p>
            <w:pPr>
              <w:pStyle w:val="TableContents"/>
              <w:bidi w:val="0"/>
              <w:spacing w:before="0" w:after="0"/>
              <w:jc w:val="left"/>
              <w:rPr>
                <w:rFonts w:ascii="Arial" w:hAnsi="Arial"/>
                <w:sz w:val="19"/>
              </w:rPr>
            </w:pPr>
            <w:r>
              <w:rPr>
                <w:rFonts w:ascii="Arial" w:hAnsi="Arial"/>
                <w:sz w:val="19"/>
              </w:rPr>
              <w:t>Total stockholders’ equity (deficit)</w:t>
            </w:r>
          </w:p>
        </w:tc>
        <w:tc>
          <w:tcPr>
            <w:tcW w:w="14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(219,455</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91,716</w:t>
            </w:r>
          </w:p>
        </w:tc>
        <w:tc>
          <w:tcPr>
            <w:tcW w:w="15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66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6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056" w:type="dxa"/>
            <w:tcBorders/>
          </w:tcPr>
          <w:p>
            <w:pPr>
              <w:pStyle w:val="TableContents"/>
              <w:bidi w:val="0"/>
              <w:spacing w:before="0" w:after="0"/>
              <w:jc w:val="left"/>
              <w:rPr>
                <w:rFonts w:ascii="Arial" w:hAnsi="Arial"/>
                <w:sz w:val="19"/>
              </w:rPr>
            </w:pPr>
            <w:r>
              <w:rPr>
                <w:rFonts w:ascii="Arial" w:hAnsi="Arial"/>
                <w:sz w:val="19"/>
              </w:rPr>
              <w:t>Total capitalization</w:t>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91,716</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91,716</w:t>
            </w:r>
          </w:p>
        </w:tc>
        <w:tc>
          <w:tcPr>
            <w:tcW w:w="15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166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05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66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 </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Each $1.00 increase (or decrease) in the assumed initial public offering price of $    per share, which is the midpoint of the price range set forth on the cover page of this prospectus, would increase (decrease) the pro forma as adjusted amount of each of our cash, cash equivalents, and marketable securities, additional paid-in capital, total stockholders’ equity, and total capitalization by approximately $    million, assuming 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Each one million share increase (decrease) in the number of shares offered by us at the assumed initial public offering price per share of $    per share, which is the midpoint of the price range set forth on the cover page of this prospectus, would increase (decrease) the pro forma as adjusted amount of each of our cash, cash equivalents, and marketable securities, additional paid-in capital, total stockholders’ equity, and total capitalization by approximately $    million, after deducting the estimated underwriting discounts and commissions and estimated offering expenses payable by us. </w:t>
            </w:r>
          </w:p>
        </w:tc>
      </w:tr>
    </w:tbl>
    <w:p>
      <w:pPr>
        <w:pStyle w:val="TextBody"/>
        <w:bidi w:val="0"/>
        <w:spacing w:before="180" w:after="0"/>
        <w:jc w:val="left"/>
        <w:rPr>
          <w:rFonts w:ascii="Arial" w:hAnsi="Arial"/>
          <w:sz w:val="19"/>
        </w:rPr>
      </w:pPr>
      <w:r>
        <w:rPr>
          <w:rFonts w:ascii="Arial" w:hAnsi="Arial"/>
          <w:sz w:val="19"/>
        </w:rPr>
        <w:t xml:space="preserve">The information in the table above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8,554,153 shares of our common stock issuable upon the exercise of stock options outstanding under the 2022 Plan as of June 30, 2026, with a weighted-average exercise price of $3.27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the exercise of stock options outstanding granted under the 2022 Plan subsequent to June 30, 2026,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Plan, which will become effective upon the execution and delivery of the underwriting agreement for this offering (which shares include    new shares plus the number of shares (not to exceed    shares) that remain available for the issuance of awards under the 2022 Plan, at 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ESPP, which will become effective upon the execution and delivery of the underwriting agreement for this offering, as well as any annual automatic increases in the number of shares of our common stock reserved for future issuance under the ESPP.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0" w:name="toc61940_8"/>
      <w:bookmarkEnd w:id="10"/>
      <w:r>
        <w:rPr>
          <w:rFonts w:ascii="Arial" w:hAnsi="Arial"/>
          <w:b/>
          <w:sz w:val="20"/>
        </w:rPr>
        <w:t xml:space="preserve">DILUTION </w:t>
      </w:r>
    </w:p>
    <w:p>
      <w:pPr>
        <w:pStyle w:val="TextBody"/>
        <w:bidi w:val="0"/>
        <w:spacing w:before="360" w:after="0"/>
        <w:jc w:val="left"/>
        <w:rPr>
          <w:rFonts w:ascii="Arial" w:hAnsi="Arial"/>
          <w:sz w:val="19"/>
        </w:rPr>
      </w:pPr>
      <w:r>
        <w:rPr>
          <w:rFonts w:ascii="Arial" w:hAnsi="Arial"/>
          <w:sz w:val="19"/>
        </w:rPr>
        <w:t xml:space="preserve">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the closing of this offering. </w:t>
      </w:r>
    </w:p>
    <w:p>
      <w:pPr>
        <w:pStyle w:val="TextBody"/>
        <w:bidi w:val="0"/>
        <w:spacing w:before="180" w:after="0"/>
        <w:jc w:val="left"/>
        <w:rPr>
          <w:rFonts w:ascii="Arial" w:hAnsi="Arial"/>
          <w:sz w:val="19"/>
        </w:rPr>
      </w:pPr>
      <w:r>
        <w:rPr>
          <w:rFonts w:ascii="Arial" w:hAnsi="Arial"/>
          <w:sz w:val="19"/>
        </w:rPr>
        <w:t xml:space="preserve">As of June 30, 2026, we had a historical net tangible book value (deficit) of approximately $(221.4) million, or $(5,031.27) per share of our common stock based on 44,000 shares of our common stock outstanding as of such date. Our historical net tangible book value (deficit) per share represents the amount of our total tangible assets less our total liabilities and redeemable convertible preferred stock, divided by the total number of shares of our common stock outstanding as of June 30, 2026. </w:t>
      </w:r>
    </w:p>
    <w:p>
      <w:pPr>
        <w:pStyle w:val="TextBody"/>
        <w:bidi w:val="0"/>
        <w:spacing w:before="180" w:after="0"/>
        <w:jc w:val="left"/>
        <w:rPr>
          <w:rFonts w:ascii="Arial" w:hAnsi="Arial"/>
          <w:sz w:val="19"/>
        </w:rPr>
      </w:pPr>
      <w:r>
        <w:rPr>
          <w:rFonts w:ascii="Arial" w:hAnsi="Arial"/>
          <w:sz w:val="19"/>
        </w:rPr>
        <w:t xml:space="preserve">After giving effect to the automatic conversion of all outstanding shares of our redeemable convertible preferred stock into 59,114,361 shares of our common stock and the related reclassification of the carrying value of our redeemable convertible preferred stock to permanent equity in connection with the closing of this offering and assuming the occurrence of such conversion as of June 30, 2026, our pro forma net tangible book value as of June 30, 2026, would have been approximately $89.8 million, or approximately $1.52 per share of our common stock. </w:t>
      </w:r>
    </w:p>
    <w:p>
      <w:pPr>
        <w:pStyle w:val="TextBody"/>
        <w:bidi w:val="0"/>
        <w:spacing w:before="180" w:after="0"/>
        <w:jc w:val="left"/>
        <w:rPr>
          <w:rFonts w:ascii="Arial" w:hAnsi="Arial"/>
          <w:sz w:val="19"/>
        </w:rPr>
      </w:pPr>
      <w:r>
        <w:rPr>
          <w:rFonts w:ascii="Arial" w:hAnsi="Arial"/>
          <w:sz w:val="19"/>
        </w:rPr>
        <w:t xml:space="preserve">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closing of this offering. After giving further effect to the sale of     shares of our common stock that we are offering at the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2026 would have been $     million, or approximately $     per share of our common stock. This amount represents an immediate increase in pro forma net tangible book value of $     per share to our existing stockholders and an immediate dilution in pro forma net tangible book value of approximately $     per share to new investors participating in this offering. </w:t>
      </w:r>
    </w:p>
    <w:p>
      <w:pPr>
        <w:pStyle w:val="TextBody"/>
        <w:bidi w:val="0"/>
        <w:spacing w:before="180" w:after="0"/>
        <w:jc w:val="left"/>
        <w:rPr>
          <w:rFonts w:ascii="Arial" w:hAnsi="Arial"/>
          <w:sz w:val="19"/>
        </w:rPr>
      </w:pPr>
      <w:r>
        <w:rPr>
          <w:rFonts w:ascii="Arial" w:hAnsi="Arial"/>
          <w:sz w:val="19"/>
        </w:rPr>
        <w:t xml:space="preserve">Dilution per share to new investors is determined by subtracting pro forma as adjusted net tangible book value per share after this offering from the assumed initial public offering price per share paid by new investors. The following table illustrates this dilution: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8"/>
        <w:gridCol w:w="226"/>
        <w:gridCol w:w="140"/>
        <w:gridCol w:w="953"/>
        <w:gridCol w:w="158"/>
        <w:gridCol w:w="198"/>
        <w:gridCol w:w="140"/>
        <w:gridCol w:w="1088"/>
        <w:gridCol w:w="64"/>
      </w:tblGrid>
      <w:tr>
        <w:trPr/>
        <w:tc>
          <w:tcPr>
            <w:tcW w:w="723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238" w:type="dxa"/>
            <w:tcBorders/>
            <w:shd w:fill="CCEEFF" w:val="clear"/>
          </w:tcPr>
          <w:p>
            <w:pPr>
              <w:pStyle w:val="TableContents"/>
              <w:bidi w:val="0"/>
              <w:spacing w:before="0" w:after="0"/>
              <w:jc w:val="left"/>
              <w:rPr>
                <w:rFonts w:ascii="Arial" w:hAnsi="Arial"/>
                <w:sz w:val="19"/>
              </w:rPr>
            </w:pPr>
            <w:r>
              <w:rPr>
                <w:rFonts w:ascii="Arial" w:hAnsi="Arial"/>
                <w:sz w:val="19"/>
              </w:rPr>
              <w:t>Assumed initial public offering price per share</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238" w:type="dxa"/>
            <w:tcBorders/>
          </w:tcPr>
          <w:p>
            <w:pPr>
              <w:pStyle w:val="TableContents"/>
              <w:bidi w:val="0"/>
              <w:spacing w:before="0" w:after="0"/>
              <w:jc w:val="left"/>
              <w:rPr>
                <w:rFonts w:ascii="Arial" w:hAnsi="Arial"/>
                <w:sz w:val="19"/>
              </w:rPr>
            </w:pPr>
            <w:r>
              <w:rPr>
                <w:rFonts w:ascii="Arial" w:hAnsi="Arial"/>
                <w:sz w:val="19"/>
              </w:rPr>
              <w:t>Historical net tangible book value (deficit) per share as of June 30, 2026</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(5,031.27</w:t>
            </w:r>
          </w:p>
        </w:tc>
        <w:tc>
          <w:tcPr>
            <w:tcW w:w="15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38" w:type="dxa"/>
            <w:tcBorders/>
            <w:shd w:fill="CCEEFF" w:val="clear"/>
          </w:tcPr>
          <w:p>
            <w:pPr>
              <w:pStyle w:val="TableContents"/>
              <w:bidi w:val="0"/>
              <w:spacing w:before="0" w:after="0"/>
              <w:jc w:val="left"/>
              <w:rPr>
                <w:rFonts w:ascii="Arial" w:hAnsi="Arial"/>
                <w:sz w:val="19"/>
              </w:rPr>
            </w:pPr>
            <w:r>
              <w:rPr>
                <w:rFonts w:ascii="Arial" w:hAnsi="Arial"/>
                <w:sz w:val="19"/>
              </w:rPr>
              <w:t>Pro forma increase in historical net tangible book value per share as of June 30, 2026</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5,032.79</w:t>
            </w:r>
          </w:p>
        </w:tc>
        <w:tc>
          <w:tcPr>
            <w:tcW w:w="15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23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38" w:type="dxa"/>
            <w:tcBorders/>
          </w:tcPr>
          <w:p>
            <w:pPr>
              <w:pStyle w:val="TableContents"/>
              <w:bidi w:val="0"/>
              <w:spacing w:before="0" w:after="0"/>
              <w:jc w:val="left"/>
              <w:rPr>
                <w:rFonts w:ascii="Arial" w:hAnsi="Arial"/>
                <w:sz w:val="19"/>
              </w:rPr>
            </w:pPr>
            <w:r>
              <w:rPr>
                <w:rFonts w:ascii="Arial" w:hAnsi="Arial"/>
                <w:sz w:val="19"/>
              </w:rPr>
              <w:t>Pro forma net tangible book value per share as of June 30, 2026, before this offering</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1.52</w:t>
            </w:r>
          </w:p>
        </w:tc>
        <w:tc>
          <w:tcPr>
            <w:tcW w:w="15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38" w:type="dxa"/>
            <w:tcBorders/>
            <w:shd w:fill="CCEEFF" w:val="clear"/>
          </w:tcPr>
          <w:p>
            <w:pPr>
              <w:pStyle w:val="TableContents"/>
              <w:bidi w:val="0"/>
              <w:spacing w:before="0" w:after="0"/>
              <w:jc w:val="left"/>
              <w:rPr>
                <w:rFonts w:ascii="Arial" w:hAnsi="Arial"/>
                <w:sz w:val="19"/>
              </w:rPr>
            </w:pPr>
            <w:r>
              <w:rPr>
                <w:rFonts w:ascii="Arial" w:hAnsi="Arial"/>
                <w:sz w:val="19"/>
              </w:rPr>
              <w:t>Increase in pro forma net tangible book value per share attributed to new investors purchasing shares in this offering</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23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38" w:type="dxa"/>
            <w:tcBorders/>
          </w:tcPr>
          <w:p>
            <w:pPr>
              <w:pStyle w:val="TableContents"/>
              <w:bidi w:val="0"/>
              <w:spacing w:before="0" w:after="0"/>
              <w:jc w:val="left"/>
              <w:rPr>
                <w:rFonts w:ascii="Arial" w:hAnsi="Arial"/>
                <w:sz w:val="19"/>
              </w:rPr>
            </w:pPr>
            <w:r>
              <w:rPr>
                <w:rFonts w:ascii="Arial" w:hAnsi="Arial"/>
                <w:sz w:val="19"/>
              </w:rPr>
              <w:t>Pro forma as adjusted net tangible book value per share immediately after this offering</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23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238" w:type="dxa"/>
            <w:tcBorders/>
            <w:shd w:fill="CCEEFF" w:val="clear"/>
            <w:vAlign w:val="bottom"/>
          </w:tcPr>
          <w:p>
            <w:pPr>
              <w:pStyle w:val="TableContents"/>
              <w:bidi w:val="0"/>
              <w:spacing w:before="0" w:after="0"/>
              <w:jc w:val="left"/>
              <w:rPr>
                <w:rFonts w:ascii="Arial" w:hAnsi="Arial"/>
                <w:sz w:val="19"/>
              </w:rPr>
            </w:pPr>
            <w:r>
              <w:rPr>
                <w:rFonts w:ascii="Arial" w:hAnsi="Arial"/>
                <w:sz w:val="19"/>
              </w:rPr>
              <w:t>Dilution per share to new investors in this offering</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19"/>
              </w:rPr>
            </w:pPr>
            <w:r>
              <w:rPr>
                <w:sz w:val="19"/>
              </w:rPr>
              <w:t>$</w:t>
            </w:r>
          </w:p>
        </w:tc>
        <w:tc>
          <w:tcPr>
            <w:tcW w:w="108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238"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dilution information discussed above is illustrative only and will change based on the actual initial public offering price and other terms of this offering determined at pricing. Each $1.00 increase (decrease) in the assumed initial public offering price of $     per share, which is the midpoint of the price range set forth on the cover page of this prospectus, would increase (decrease) the pro forma as adjusted net tangible book value per share after this offering by approximately $    , and dilution in pro forma net tangible book value per share to new investors by approximately $    , assuming that the number of shares offered by us, as set forth on the cover page of this prospectus, remains the same and after deducting the estimated underwriting discounts and commissions and the estimated offering expenses payable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may also increase or decrease the number of shares we are offering. Each increase of one million shares in the number of shares offered by us, as set forth on the cover page of this prospectus, would increase our pro forma as adjusted net tangible book value per share after this offering by approximately $     and decrease the dilution to investors participating in this offering by approximately $     per share, assuming that the assumed initial public offering price remains the same, and after deducting the estimated underwriting discounts and commissions and the estimated offering expenses payable by us. Similarly, each decrease of one million shares in the number of shares offered by us, as set forth on the cover page of this prospectus, would decrease the pro forma as adjusted net tangible book value per share after this offering by approximately $     and increase the dilution to investors participating in this offering by approximately $     per share, assuming the assumed initial public offering price of $     per share remains the same, and after deducting the estimated underwriting discounts and commissions and the estimated offering expenses payable by us. </w:t>
      </w:r>
    </w:p>
    <w:p>
      <w:pPr>
        <w:pStyle w:val="TextBody"/>
        <w:bidi w:val="0"/>
        <w:spacing w:before="180" w:after="0"/>
        <w:jc w:val="left"/>
        <w:rPr>
          <w:rFonts w:ascii="Arial" w:hAnsi="Arial"/>
          <w:sz w:val="19"/>
        </w:rPr>
      </w:pPr>
      <w:r>
        <w:rPr>
          <w:rFonts w:ascii="Arial" w:hAnsi="Arial"/>
          <w:sz w:val="19"/>
        </w:rPr>
        <w:t xml:space="preserve">If the underwriters exercise their option to purchase up to     additional shares of our common stock in full in this offering, the pro forma as adjusted net tangible book value after the offering would be $     per share, the increase in pro forma as adjusted net tangible book value per share to existing stockholders would be $     per share and the dilution per share to new investors would be $     per share, in each case assuming an initial public offering price of $     per share, which is the midpoint of the price range set forth on the cover page of this prospectus, remains the same and after deducting the estimated underwriting discounts and commissions payable by us. </w:t>
      </w:r>
    </w:p>
    <w:p>
      <w:pPr>
        <w:pStyle w:val="TextBody"/>
        <w:bidi w:val="0"/>
        <w:spacing w:before="180" w:after="0"/>
        <w:jc w:val="left"/>
        <w:rPr>
          <w:rFonts w:ascii="Arial" w:hAnsi="Arial"/>
          <w:sz w:val="19"/>
        </w:rPr>
      </w:pPr>
      <w:r>
        <w:rPr>
          <w:rFonts w:ascii="Arial" w:hAnsi="Arial"/>
          <w:sz w:val="19"/>
        </w:rPr>
        <w:t xml:space="preserve">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 </w:t>
      </w:r>
    </w:p>
    <w:p>
      <w:pPr>
        <w:pStyle w:val="TextBody"/>
        <w:bidi w:val="0"/>
        <w:spacing w:before="180" w:after="0"/>
        <w:jc w:val="left"/>
        <w:rPr>
          <w:rFonts w:ascii="Arial" w:hAnsi="Arial"/>
          <w:sz w:val="19"/>
        </w:rPr>
      </w:pPr>
      <w:r>
        <w:rPr>
          <w:rFonts w:ascii="Arial" w:hAnsi="Arial"/>
          <w:sz w:val="19"/>
        </w:rPr>
        <w:t xml:space="preserve">The following table summarizes, on the pro forma as adjusted basis described above, as of June 30, 2026, the differences between the number of shares of our common stock purchased from us by our existing stockholders and common stock by new investors purchasing shares in this offering, the total consideration paid to us in cash and the weighted-average price per share paid by existing stockholders for shares of our common stock issued prior to this offering and the price to be paid by new investors for shares of our common stock in this offering. The calculation below is assuming an initial public offering price of $     per share, which is the midpoint of the price range set forth on the cover page of this prospectus, before deducting the estimated underwriting discounts and commissions and estimated offering expenses payable by 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7"/>
        <w:gridCol w:w="136"/>
        <w:gridCol w:w="79"/>
        <w:gridCol w:w="1456"/>
        <w:gridCol w:w="79"/>
        <w:gridCol w:w="174"/>
        <w:gridCol w:w="116"/>
        <w:gridCol w:w="1095"/>
        <w:gridCol w:w="276"/>
        <w:gridCol w:w="77"/>
        <w:gridCol w:w="289"/>
        <w:gridCol w:w="1660"/>
        <w:gridCol w:w="72"/>
        <w:gridCol w:w="161"/>
        <w:gridCol w:w="115"/>
        <w:gridCol w:w="1096"/>
        <w:gridCol w:w="276"/>
        <w:gridCol w:w="77"/>
        <w:gridCol w:w="352"/>
        <w:gridCol w:w="1113"/>
        <w:gridCol w:w="69"/>
      </w:tblGrid>
      <w:tr>
        <w:trPr/>
        <w:tc>
          <w:tcPr>
            <w:tcW w:w="143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43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99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PURCHASED</w:t>
            </w:r>
          </w:p>
        </w:tc>
        <w:tc>
          <w:tcPr>
            <w:tcW w:w="27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39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TOTAL CONSIDERATION</w:t>
            </w:r>
          </w:p>
        </w:tc>
        <w:tc>
          <w:tcPr>
            <w:tcW w:w="27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6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PRICE PER</w:t>
            </w:r>
          </w:p>
        </w:tc>
        <w:tc>
          <w:tcPr>
            <w:tcW w:w="69" w:type="dxa"/>
            <w:tcBorders/>
            <w:vAlign w:val="bottom"/>
          </w:tcPr>
          <w:p>
            <w:pPr>
              <w:pStyle w:val="TableContents"/>
              <w:bidi w:val="0"/>
              <w:spacing w:before="0" w:after="283"/>
              <w:jc w:val="left"/>
              <w:rPr/>
            </w:pPr>
            <w:r>
              <w:rPr/>
              <w:t> </w:t>
            </w:r>
          </w:p>
        </w:tc>
      </w:tr>
      <w:tr>
        <w:trPr/>
        <w:tc>
          <w:tcPr>
            <w:tcW w:w="143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5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7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w:t>
            </w:r>
          </w:p>
        </w:tc>
        <w:tc>
          <w:tcPr>
            <w:tcW w:w="27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94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br/>
              <w:t>(IN THOUSANDS)</w:t>
            </w:r>
          </w:p>
        </w:tc>
        <w:tc>
          <w:tcPr>
            <w:tcW w:w="7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2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w:t>
            </w:r>
          </w:p>
        </w:tc>
        <w:tc>
          <w:tcPr>
            <w:tcW w:w="27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6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w:t>
            </w:r>
          </w:p>
        </w:tc>
        <w:tc>
          <w:tcPr>
            <w:tcW w:w="69" w:type="dxa"/>
            <w:tcBorders/>
            <w:vAlign w:val="bottom"/>
          </w:tcPr>
          <w:p>
            <w:pPr>
              <w:pStyle w:val="TableContents"/>
              <w:bidi w:val="0"/>
              <w:spacing w:before="0" w:after="283"/>
              <w:jc w:val="left"/>
              <w:rPr/>
            </w:pPr>
            <w:r>
              <w:rPr/>
              <w:t> </w:t>
            </w:r>
          </w:p>
        </w:tc>
      </w:tr>
      <w:tr>
        <w:trPr/>
        <w:tc>
          <w:tcPr>
            <w:tcW w:w="1437" w:type="dxa"/>
            <w:tcBorders/>
            <w:shd w:fill="CCEEFF" w:val="clear"/>
          </w:tcPr>
          <w:p>
            <w:pPr>
              <w:pStyle w:val="TableContents"/>
              <w:bidi w:val="0"/>
              <w:spacing w:before="0" w:after="0"/>
              <w:jc w:val="left"/>
              <w:rPr>
                <w:rFonts w:ascii="Arial" w:hAnsi="Arial"/>
                <w:sz w:val="19"/>
              </w:rPr>
            </w:pPr>
            <w:r>
              <w:rPr>
                <w:rFonts w:ascii="Arial" w:hAnsi="Arial"/>
                <w:sz w:val="19"/>
              </w:rPr>
              <w:t>Existing stockholders</w:t>
            </w:r>
          </w:p>
        </w:tc>
        <w:tc>
          <w:tcPr>
            <w:tcW w:w="1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59,158,361</w:t>
            </w:r>
          </w:p>
        </w:tc>
        <w:tc>
          <w:tcPr>
            <w:tcW w:w="7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301,522</w:t>
            </w:r>
          </w:p>
        </w:tc>
        <w:tc>
          <w:tcPr>
            <w:tcW w:w="7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5.10</w:t>
            </w:r>
          </w:p>
        </w:tc>
        <w:tc>
          <w:tcPr>
            <w:tcW w:w="69" w:type="dxa"/>
            <w:tcBorders/>
            <w:shd w:fill="CCEEFF" w:val="clear"/>
            <w:vAlign w:val="bottom"/>
          </w:tcPr>
          <w:p>
            <w:pPr>
              <w:pStyle w:val="TableContents"/>
              <w:bidi w:val="0"/>
              <w:spacing w:before="0" w:after="283"/>
              <w:jc w:val="left"/>
              <w:rPr/>
            </w:pPr>
            <w:r>
              <w:rPr/>
              <w:t> </w:t>
            </w:r>
          </w:p>
        </w:tc>
      </w:tr>
      <w:tr>
        <w:trPr/>
        <w:tc>
          <w:tcPr>
            <w:tcW w:w="1437" w:type="dxa"/>
            <w:tcBorders/>
          </w:tcPr>
          <w:p>
            <w:pPr>
              <w:pStyle w:val="TableContents"/>
              <w:bidi w:val="0"/>
              <w:spacing w:before="0" w:after="0"/>
              <w:jc w:val="left"/>
              <w:rPr>
                <w:rFonts w:ascii="Arial" w:hAnsi="Arial"/>
                <w:sz w:val="19"/>
              </w:rPr>
            </w:pPr>
            <w:r>
              <w:rPr>
                <w:rFonts w:ascii="Arial" w:hAnsi="Arial"/>
                <w:sz w:val="19"/>
              </w:rPr>
              <w:t>New investors</w:t>
            </w:r>
          </w:p>
        </w:tc>
        <w:tc>
          <w:tcPr>
            <w:tcW w:w="13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456" w:type="dxa"/>
            <w:tcBorders/>
            <w:vAlign w:val="bottom"/>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6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1437"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3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143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456" w:type="dxa"/>
            <w:tcBorders/>
            <w:vAlign w:val="bottom"/>
          </w:tcPr>
          <w:p>
            <w:pPr>
              <w:pStyle w:val="TableContents"/>
              <w:pBdr>
                <w:top w:val="double" w:sz="6"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double" w:sz="6" w:space="1" w:color="000000"/>
              </w:pBdr>
              <w:bidi w:val="0"/>
              <w:spacing w:before="0" w:after="0"/>
              <w:jc w:val="left"/>
              <w:rPr/>
            </w:pPr>
            <w:r>
              <w:rPr/>
              <w:t> </w:t>
            </w:r>
          </w:p>
        </w:tc>
        <w:tc>
          <w:tcPr>
            <w:tcW w:w="1095"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6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Each $1.00 increase in the assumed initial public offering price of $     per share would increase total consideration paid by new investors, total consideration paid by all stockholders and the weighted-average price per share paid by all stockholders by $     million, $     million and $    , respectively, while each $1.00 decrease in the assumed initial public offering price of $     per share, would decrease total consideration paid by new investors, total consideration paid by all stockholders and the weighted-average price per share paid by all stockholders by $     million, $     million and $    , respectively, and assuming the number of shares offered by us, as set forth on the cover page of this prospectus, remains the same and before deducting the estimated underwriting discounts and commissions and estimated offering expenses payable by 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Similarly, each one million share increase in the number of shares offered by us, as set forth on the cover page of this prospectus, would increase the total consideration paid by investors participating in this offering, total consideration paid by all stockholders, and the weighted-average price per share paid by all stockholders by approximately $     million, $     million, and $    , respectively, while each one million share decrease in the number of shares offered by us, as set forth on the cover page of this prospectus, would decrease the total consideration paid by investors participating in this offering, total consideration paid by all stockholders, and the weighted-average price per share paid by all stockholders by approximately $      million, $    million, and $    , respectively, assuming the assumed initial public offering price of $     per share remains the same, and after deducting the estimated underwriting discounts and commissions and estimated offering expenses payable by us. </w:t>
      </w:r>
    </w:p>
    <w:p>
      <w:pPr>
        <w:pStyle w:val="TextBody"/>
        <w:bidi w:val="0"/>
        <w:spacing w:before="180" w:after="0"/>
        <w:jc w:val="left"/>
        <w:rPr>
          <w:rFonts w:ascii="Arial" w:hAnsi="Arial"/>
          <w:sz w:val="19"/>
        </w:rPr>
      </w:pPr>
      <w:r>
        <w:rPr>
          <w:rFonts w:ascii="Arial" w:hAnsi="Arial"/>
          <w:sz w:val="19"/>
        </w:rPr>
        <w:t xml:space="preserve">The table above assumes no exercise of the underwriters’ option to purchase additional shares of our common stock in this offering. If the underwriters were to fully exercise their option to purchase additional shares of our common stock from us, the percentage of our common stock held by existing stockholders after this offering would be reduced to     % of the total number of shares of our common stock outstanding after this offering, and the percentage of our common stock held by new investors would be increased to     % of the total number of shares of our common stock outstanding after this offering. </w:t>
      </w:r>
    </w:p>
    <w:p>
      <w:pPr>
        <w:pStyle w:val="TextBody"/>
        <w:bidi w:val="0"/>
        <w:spacing w:before="180" w:after="0"/>
        <w:jc w:val="left"/>
        <w:rPr>
          <w:rFonts w:ascii="Arial" w:hAnsi="Arial"/>
          <w:sz w:val="19"/>
        </w:rPr>
      </w:pPr>
      <w:r>
        <w:rPr>
          <w:rFonts w:ascii="Arial" w:hAnsi="Arial"/>
          <w:sz w:val="19"/>
        </w:rPr>
        <w:t xml:space="preserve">Except as otherwise indicated, the discussion and the tables above assume no exercise of the underwriters’ option to purchase additional shares of our common stock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8,554,153 shares of our common stock issuable upon the exercise of outstanding stock options as of June 30, 2026, with a weighted-average exercise price of $3.27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w:t>
            </w:r>
            <w:r>
              <w:rPr>
                <w:rFonts w:ascii="Arial" w:hAnsi="Arial"/>
                <w:sz w:val="19"/>
              </w:rPr>
              <w:t xml:space="preserve">shares of our common stock issuable upon exercise of outstanding stock options granted subsequent to June 30, 2026,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2026 Plan, which will become effective upon the execution and delivery of the underwriting agreement for this offering (which shares include    new shares plus the number of shares (not to exceed    shares) that remain available for the issuance of awards under the 2022 Plan at the time the 2026 Plan becomes effective, as more fully described in the section titled “Executive and Director Compensation—Equity Benefit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w:t>
            </w:r>
            <w:r>
              <w:rPr>
                <w:rFonts w:ascii="Arial" w:hAnsi="Arial"/>
                <w:sz w:val="19"/>
              </w:rPr>
              <w:t xml:space="preserve">shares of our common stock reserved for future issuance under our ESPP, as well as any annual automatic increases in the number of shares of our common stock reserved for future issuance under the ESPP, which will become effective upon the execution and delivery of the underwriting agreement for this offering. </w:t>
            </w:r>
          </w:p>
        </w:tc>
      </w:tr>
    </w:tbl>
    <w:p>
      <w:pPr>
        <w:pStyle w:val="TextBody"/>
        <w:bidi w:val="0"/>
        <w:spacing w:before="180" w:after="0"/>
        <w:jc w:val="left"/>
        <w:rPr>
          <w:rFonts w:ascii="Arial" w:hAnsi="Arial"/>
          <w:sz w:val="19"/>
        </w:rPr>
      </w:pPr>
      <w:r>
        <w:rPr>
          <w:rFonts w:ascii="Arial" w:hAnsi="Arial"/>
          <w:sz w:val="19"/>
        </w:rPr>
        <w:t xml:space="preserve">We may choose to raise additional capital through the sale of equity or convertible debt securities due to market conditions or strategic considerations even if we believe we have sufficient funds for our current or future operating plans. To the extent that stock options are exercised or we issue additional shares of our common stock or other equity or convertible debt securities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1" w:name="toc61940_9"/>
      <w:bookmarkEnd w:id="11"/>
      <w:r>
        <w:rPr>
          <w:rFonts w:ascii="Arial" w:hAnsi="Arial"/>
          <w:b/>
          <w:sz w:val="20"/>
        </w:rPr>
        <w:t xml:space="preserve">MANAGEMENT’S DISCUSSION AND ANALYSIS OF FINANCIAL CONDITION AND RESULTS OF OPERATIONS </w:t>
      </w:r>
    </w:p>
    <w:p>
      <w:pPr>
        <w:pStyle w:val="TextBody"/>
        <w:bidi w:val="0"/>
        <w:spacing w:before="360" w:after="0"/>
        <w:jc w:val="left"/>
        <w:rPr>
          <w:rFonts w:ascii="Arial" w:hAnsi="Arial"/>
          <w:i/>
          <w:sz w:val="19"/>
        </w:rPr>
      </w:pPr>
      <w:r>
        <w:rPr>
          <w:rFonts w:ascii="Arial" w:hAnsi="Arial"/>
          <w:i/>
          <w:sz w:val="19"/>
        </w:rPr>
        <w:t xml:space="preserve">The following discussion and analysis of our financial condition and results of operations should be read together with our financial statements and related notes and other financial information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and projections. Our actual results and the timing of certain events could differ materially from those discussed in the forward-looking statements as a result of many factors, including those discussed in the section titled “Risk Factors” and elsewhere in this prospectus.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 </w:t>
      </w:r>
    </w:p>
    <w:p>
      <w:pPr>
        <w:pStyle w:val="TextBody"/>
        <w:bidi w:val="0"/>
        <w:spacing w:before="240" w:after="0"/>
        <w:jc w:val="left"/>
        <w:rPr>
          <w:rFonts w:ascii="Arial" w:hAnsi="Arial"/>
          <w:b/>
          <w:sz w:val="20"/>
        </w:rPr>
      </w:pPr>
      <w:r>
        <w:rPr>
          <w:rFonts w:ascii="Arial" w:hAnsi="Arial"/>
          <w:b/>
          <w:sz w:val="20"/>
        </w:rPr>
        <w:t xml:space="preserve">Overview </w:t>
      </w:r>
    </w:p>
    <w:p>
      <w:pPr>
        <w:pStyle w:val="TextBody"/>
        <w:bidi w:val="0"/>
        <w:spacing w:before="80" w:after="0"/>
        <w:jc w:val="left"/>
        <w:rPr>
          <w:rFonts w:ascii="Arial" w:hAnsi="Arial"/>
          <w:sz w:val="19"/>
        </w:rPr>
      </w:pPr>
      <w:r>
        <w:rPr>
          <w:rFonts w:ascii="Arial" w:hAnsi="Arial"/>
          <w:sz w:val="19"/>
        </w:rPr>
        <w:t>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Our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which is currently in a global registrational program for patients with secondary hemophagocytic lymphohistiocytosis (sHLH). We are conducting SURPASS, our global Phase 2/3 registrational trial in newly diagnosed, treatment-naïve sHLH patients, as well as COMPASS, our natural history study designed to provide an external control comparator for SURPASS. We expect topline data in    . We are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We have obtained regulatory clearance to initiate a Phase 1 clinical trial of ELA822 in healthy volunteers in Europe. We have activated our clinical trial site, and we expect initial data in    . </w:t>
      </w:r>
    </w:p>
    <w:p>
      <w:pPr>
        <w:pStyle w:val="TextBody"/>
        <w:bidi w:val="0"/>
        <w:spacing w:before="180" w:after="0"/>
        <w:jc w:val="left"/>
        <w:rPr>
          <w:rFonts w:ascii="Arial" w:hAnsi="Arial"/>
          <w:sz w:val="19"/>
        </w:rPr>
      </w:pPr>
      <w:r>
        <w:rPr>
          <w:rFonts w:ascii="Arial" w:hAnsi="Arial"/>
          <w:sz w:val="19"/>
        </w:rPr>
        <w:t xml:space="preserve">We commenced operations in 2018 and since our inception, we have devoted substantially all of our resources to organizing and staffing our company, business planning, raising capital, discovering our product candidates, establishing and maintaining our intellectual property portfolio, conducting research, nonclinical studies and clinical trials, establishing arrangements with third parties for the manufacture of our product candidates and related raw materials, and providing general and administrative support for these operations. To date, we have financed our operations primarily through the issuance and sale of shares of our redeemable convertible preferred stock and issuance of convertible promissory notes. As of June 30, 2026, issuances and sales of our redeemable convertible preferred stock have resulted in aggregate gross proceeds of $301.4 million. As of June 30, 2026, we had cash, cash equivalents and marketable securities of $97.7 million, which includes proceeds received from the recent second closing of our Series C redeemable convertible preferred stock financing, where we issued 7,378,708 shares of our Series C redeemable convertible preferred stock at a purchase price of $6.7688 per share, resulting in gross proceeds of $49.9 million. Without giving effect to the anticipated net proceeds from this offering, based on our current operating plan, we estimated that our existing cash, cash equivalents and marketable securities as of June 30, 2026 may not have been sufficient to fund our projected operating expenses and capital expenditures for the next 12 months and, therefore, have concluded that circumstances exist that raise substantial doubt about our ability to continue as a going concern. However, 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expenditures through    . This estimate is a forward-looking statement that involves risks and uncertainties, and actual results could vary materially.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Since our inception, we have incurred significant net losses and negative cash flows from operations. We incurred net losses of $48.9 million and $25.4 million for the six months ended June 30, 2026 and 2025, respectively. We used $38.9 million and $24.7 million of cash in operating activities for the six months ended June 30, 2026 and 2025, respectively. As of June 30, 2026, we had an accumulated deficit of $221.9 million. To date, we have funded our operations primarily from the sales and issuances of our redeemable convertible preferred stock. </w:t>
      </w:r>
    </w:p>
    <w:p>
      <w:pPr>
        <w:pStyle w:val="TextBody"/>
        <w:bidi w:val="0"/>
        <w:spacing w:before="180" w:after="0"/>
        <w:jc w:val="left"/>
        <w:rPr>
          <w:rFonts w:ascii="Arial" w:hAnsi="Arial"/>
          <w:sz w:val="19"/>
        </w:rPr>
      </w:pPr>
      <w:r>
        <w:rPr>
          <w:rFonts w:ascii="Arial" w:hAnsi="Arial"/>
          <w:sz w:val="19"/>
        </w:rPr>
        <w:t xml:space="preserve">We expect our expenses and operating losses will increase substantially for the foreseeable future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advance our product candidates through our ongoing nonclinical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continue our research and development efforts and expand our pipeline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collaborate with our contract manufacturing organizations to develop manufacturing processes and methods and establish manufacturing capacity to supply clinical trials in our pipeline and eventually for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seek regulatory approval for any potential future product candidates for which we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attract, hire and retain additional research and development, clinical, commercial and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potentially experience any delays, challenges or other issues associated with the clinical development of our product candidates, including with respect to our regulatory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make milestone, royalty or other payments under current, and any future, 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potentially seek to identify, acquire or in-license new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utilize third parties to manufacture our product candidates and related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implement operational, financial and management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ultimately establish a sales, marketing and distribution infrastructure to commercialize any product candidate for which we may obtain marketing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incur additional costs associated with being a public company, including audit, legal, regulatory and tax-related services associated with maintaining compliance with an exchange listing and U.S. Securities and Exchange Commission (SEC) requirements, director and officer insurance premiums and investor relations costs. </w:t>
            </w:r>
          </w:p>
        </w:tc>
      </w:tr>
    </w:tbl>
    <w:p>
      <w:pPr>
        <w:pStyle w:val="TextBody"/>
        <w:bidi w:val="0"/>
        <w:spacing w:before="180" w:after="0"/>
        <w:jc w:val="left"/>
        <w:rPr>
          <w:rFonts w:ascii="Arial" w:hAnsi="Arial"/>
          <w:sz w:val="19"/>
        </w:rPr>
      </w:pPr>
      <w:r>
        <w:rPr>
          <w:rFonts w:ascii="Arial" w:hAnsi="Arial"/>
          <w:sz w:val="19"/>
        </w:rPr>
        <w:t xml:space="preserve">If we obtain regulatory approval for any of our product candidates, we expect to incur significant commercialization expenses related to product sales, marketing, manufacturing, and distribution. Our net losses may fluctuate significantly from period to period, depending on the timing of and level of expense related to our clinical trials and nonclinical studies and our other research and development activities and capital expenditures and the timing and amount of any milestone or royalty payments due under our existing or future license or collaboration agreements. Cash used to fund operating expenses is impacted by the timing of payments for these expenses, as reflected in the change in our accounts payable and accrued liabilities. </w:t>
      </w:r>
    </w:p>
    <w:p>
      <w:pPr>
        <w:pStyle w:val="TextBody"/>
        <w:bidi w:val="0"/>
        <w:spacing w:before="180" w:after="0"/>
        <w:jc w:val="left"/>
        <w:rPr>
          <w:rFonts w:ascii="Arial" w:hAnsi="Arial"/>
          <w:sz w:val="19"/>
        </w:rPr>
      </w:pPr>
      <w:r>
        <w:rPr>
          <w:rFonts w:ascii="Arial" w:hAnsi="Arial"/>
          <w:sz w:val="19"/>
        </w:rPr>
        <w:t xml:space="preserve">We do not have any products approved for sale and have not generated any revenue to date. We do not expect to generate revenue from any product candidates until we successfully complete development and obtain regulatory approval for one or more of such product candidates, which we expect will take a number of years and may never occur. If we obtain regulatory approval for any of our product candidates, we expect to incur significant commercialization expenses related to product sales, marketing, manufacturing and distribution. As a result, we will need substantial additional funding to support our operating activities as we advance our product candidates through clinical development, seek regulatory approval and prepare for commercialization if any of our product candidates are approved. Until such time when we can generate significant revenue from sales of our product candidates, if ever, we expect to fund our operations through public or private equity offerings, debt financings, or potentially other capital sources, such as collaboration or licensing arrangements with third parties or other strategic transactions. However, we may not be able to raise additional funds or enter into such other arrangements when needed or on favorable terms, or at all. To the extent that we raise additional capital through the sale of equity or convertible debt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financial condition, results of operations, and prospects. </w:t>
      </w:r>
    </w:p>
    <w:p>
      <w:pPr>
        <w:pStyle w:val="TextBody"/>
        <w:bidi w:val="0"/>
        <w:spacing w:before="180" w:after="0"/>
        <w:jc w:val="left"/>
        <w:rPr>
          <w:rFonts w:ascii="Arial" w:hAnsi="Arial"/>
          <w:sz w:val="19"/>
        </w:rPr>
      </w:pPr>
      <w:r>
        <w:rPr>
          <w:rFonts w:ascii="Arial" w:hAnsi="Arial"/>
          <w:sz w:val="19"/>
        </w:rPr>
        <w:t xml:space="preserve">We do not own or operate and currently have no plans to establish any manufacturing facilities. We rely and expect to continue to rely on third parties for the manufacture of our product candidates for nonclinical and clinical testing, as well as for commercial manufacture if our other product candidates obtain marketing approval. We are working with our current manufacturers to ensure that we will be able to scale up our manufacturing capabilities to support our clinical plans. In addition, we rely on third parties to package, label, store, and distribute our product candidates,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product candidates. </w:t>
      </w:r>
    </w:p>
    <w:p>
      <w:pPr>
        <w:pStyle w:val="TextBody"/>
        <w:bidi w:val="0"/>
        <w:spacing w:before="240" w:after="0"/>
        <w:jc w:val="left"/>
        <w:rPr>
          <w:rFonts w:ascii="Arial" w:hAnsi="Arial"/>
          <w:b/>
          <w:sz w:val="20"/>
        </w:rPr>
      </w:pPr>
      <w:r>
        <w:rPr>
          <w:rFonts w:ascii="Arial" w:hAnsi="Arial"/>
          <w:b/>
          <w:sz w:val="20"/>
        </w:rPr>
        <w:t xml:space="preserve">Components of Our Results of Operations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sz w:val="19"/>
        </w:rPr>
      </w:pPr>
      <w:r>
        <w:rPr>
          <w:rFonts w:ascii="Arial" w:hAnsi="Arial"/>
          <w:sz w:val="19"/>
        </w:rPr>
        <w:t xml:space="preserve">Our operating expenses consist of (i) research and development expenses and (ii) general and administrative expenses. </w:t>
      </w:r>
    </w:p>
    <w:p>
      <w:pPr>
        <w:pStyle w:val="TextBody"/>
        <w:bidi w:val="0"/>
        <w:spacing w:before="80" w:after="0"/>
        <w:jc w:val="left"/>
        <w:rPr>
          <w:rFonts w:ascii="Arial" w:hAnsi="Arial"/>
          <w:i/>
          <w:sz w:val="19"/>
        </w:rPr>
      </w:pPr>
      <w:r>
        <w:rPr>
          <w:rFonts w:ascii="Arial" w:hAnsi="Arial"/>
          <w:i/>
          <w:sz w:val="19"/>
        </w:rPr>
        <w:t xml:space="preserve">Research and Development </w:t>
      </w:r>
    </w:p>
    <w:p>
      <w:pPr>
        <w:pStyle w:val="TextBody"/>
        <w:bidi w:val="0"/>
        <w:spacing w:before="40" w:after="0"/>
        <w:jc w:val="left"/>
        <w:rPr>
          <w:rFonts w:ascii="Arial" w:hAnsi="Arial"/>
          <w:sz w:val="19"/>
        </w:rPr>
      </w:pPr>
      <w:r>
        <w:rPr>
          <w:rFonts w:ascii="Arial" w:hAnsi="Arial"/>
          <w:sz w:val="19"/>
        </w:rPr>
        <w:t xml:space="preserve">Research and development expenses consist primarily of costs incurred in connection with the development of our nonclinical and clinical product candidates. Research and development expenses consist of: </w:t>
      </w:r>
    </w:p>
    <w:p>
      <w:pPr>
        <w:pStyle w:val="TextBody"/>
        <w:bidi w:val="0"/>
        <w:spacing w:before="180" w:after="0"/>
        <w:jc w:val="left"/>
        <w:rPr>
          <w:rFonts w:ascii="Arial" w:hAnsi="Arial"/>
          <w:sz w:val="19"/>
        </w:rPr>
      </w:pPr>
      <w:r>
        <w:rPr>
          <w:rFonts w:ascii="Arial" w:hAnsi="Arial"/>
          <w:sz w:val="19"/>
        </w:rPr>
        <w:t xml:space="preserve">Direct program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expenses incurred under agreements with consultants and third-party contract organizations that conduct research and development activities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costs related to the production of nonclinical and clinical materials related to our current or future product candidates paid to contract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laboratory, testing and other expenses related to the execution of nonclinical studies and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third-party license fees, including any milestone-based payments. </w:t>
            </w:r>
          </w:p>
        </w:tc>
      </w:tr>
    </w:tbl>
    <w:p>
      <w:pPr>
        <w:pStyle w:val="TextBody"/>
        <w:bidi w:val="0"/>
        <w:spacing w:before="180" w:after="0"/>
        <w:jc w:val="left"/>
        <w:rPr>
          <w:rFonts w:ascii="Arial" w:hAnsi="Arial"/>
          <w:sz w:val="19"/>
        </w:rPr>
      </w:pPr>
      <w:r>
        <w:rPr>
          <w:rFonts w:ascii="Arial" w:hAnsi="Arial"/>
          <w:sz w:val="19"/>
        </w:rPr>
        <w:t xml:space="preserve">Unallocated costs: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personnel-related costs, such as salaries, benefits and stock-based compensation for employees engaged in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facility-related, overhead, and other costs not directly tied to a program, including rent, facility-related overhead, depreciation expense, expenses related to regulatory compliance and requirements, laboratory operations, information technology-related expenses, and other supplies and services. </w:t>
            </w:r>
          </w:p>
        </w:tc>
      </w:tr>
    </w:tbl>
    <w:p>
      <w:pPr>
        <w:pStyle w:val="TextBody"/>
        <w:bidi w:val="0"/>
        <w:spacing w:before="180" w:after="0"/>
        <w:jc w:val="left"/>
        <w:rPr>
          <w:rFonts w:ascii="Arial" w:hAnsi="Arial"/>
          <w:sz w:val="19"/>
        </w:rPr>
      </w:pPr>
      <w:r>
        <w:rPr>
          <w:rFonts w:ascii="Arial" w:hAnsi="Arial"/>
          <w:sz w:val="19"/>
        </w:rPr>
        <w:t xml:space="preserve">We expense all research and development costs in the period in which such costs are incurred. Costs for certain research and development activities are recognized based on evaluating the progress to completion of specific tasks using information and data provided to us by our vendors and third-party service providers. A significant portion of our research and development expenses have been direct external costs, which we track by program. However, we do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track our internal research and development expenses on a program specific basis because these costs are deployed across multiple projects and, as such, are not separately classified. </w:t>
      </w:r>
    </w:p>
    <w:p>
      <w:pPr>
        <w:pStyle w:val="TextBody"/>
        <w:bidi w:val="0"/>
        <w:spacing w:before="180" w:after="0"/>
        <w:jc w:val="left"/>
        <w:rPr>
          <w:rFonts w:ascii="Arial" w:hAnsi="Arial"/>
          <w:sz w:val="19"/>
        </w:rPr>
      </w:pPr>
      <w:r>
        <w:rPr>
          <w:rFonts w:ascii="Arial" w:hAnsi="Arial"/>
          <w:sz w:val="19"/>
        </w:rPr>
        <w:t xml:space="preserve">Non-refundable advance payments for goods and services used over time for research and development are capitalized and recognized as goods are delivered or as the related services are performed. Certain prepaid amounts are classified as long-term based on contractual terms and conditions. In-licensing fees and other costs to acquire technologies used in research and development that have not yet received regulatory approval and that are not expected to have an alternative future use are expensed when incurred. </w:t>
      </w:r>
    </w:p>
    <w:p>
      <w:pPr>
        <w:pStyle w:val="TextBody"/>
        <w:bidi w:val="0"/>
        <w:spacing w:before="180" w:after="0"/>
        <w:jc w:val="left"/>
        <w:rPr>
          <w:rFonts w:ascii="Arial" w:hAnsi="Arial"/>
          <w:sz w:val="19"/>
        </w:rPr>
      </w:pPr>
      <w:r>
        <w:rPr>
          <w:rFonts w:ascii="Arial" w:hAnsi="Arial"/>
          <w:sz w:val="19"/>
        </w:rPr>
        <w:t xml:space="preserve">Research and development activities are central to our business model, and the successful development of our product candidates is highly uncertain. As of the date of this prospectus, we cannot reasonably estimate or know the nature, timing and estimated costs of the efforts that will be necessary to complete the development of any of our product candidates. There are numerous factors associated with the approval and successful commercialization of any of our product candidates, including future trial design and various regulatory requirements, many of which cannot be determined with accuracy at this time based on our stage of development. Potential future changes to regulatory factors beyond our control may impact our development programs. Product candidates in later stages of clinical development generally have higher development costs than those in earlier stages of clinical development, primarily due to the increased size and duration of later-stage clinical trials. In addition, we cannot predict which product candidates may be subject to future collaborations, when such arrangements will be secured, if at all, and to what degree such arrangements would affect our development plans and capital requirements. We expect that our research and development expenses will increase substantially for the foreseeable future as we continue to invest in research and development activities related to developing our product candidates, as our product candidates advance into later and through various stages of development,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w:t>
      </w:r>
    </w:p>
    <w:p>
      <w:pPr>
        <w:pStyle w:val="TextBody"/>
        <w:bidi w:val="0"/>
        <w:spacing w:before="180" w:after="0"/>
        <w:jc w:val="left"/>
        <w:rPr>
          <w:rFonts w:ascii="Arial" w:hAnsi="Arial"/>
          <w:sz w:val="19"/>
        </w:rPr>
      </w:pPr>
      <w:r>
        <w:rPr>
          <w:rFonts w:ascii="Arial" w:hAnsi="Arial"/>
          <w:sz w:val="19"/>
        </w:rPr>
        <w:t xml:space="preserve">The process of conducting the necessary clinical research to obtain regulatory approval is costly and time-consuming, and the successful development of our product candidates is highly uncertain. Our research and development expenses may vary significantly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and scope of nonclinical and IND- or similar-enabling studies to enable the authorization of a similar regulatory submission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phases of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progress and results of our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number of trials required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sites included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length of time required to initiate clinical trials and enroll eligible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number of participants that participate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drop-out and discontinuation rate of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potential additional safety monitoring requested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duration of subject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cost and timing of manufacturing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licensing milestone payments related to development, regulatory and commercial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receipt of regulatory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hiring and retention of research and development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degree to which we obtain, maintain, defend, and enforce our intellectual property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extent to which we establish collaboration, licensing or similar arrangements. </w:t>
            </w:r>
          </w:p>
        </w:tc>
      </w:tr>
    </w:tbl>
    <w:p>
      <w:pPr>
        <w:pStyle w:val="TextBody"/>
        <w:bidi w:val="0"/>
        <w:spacing w:before="180" w:after="0"/>
        <w:jc w:val="left"/>
        <w:rPr>
          <w:rFonts w:ascii="Arial" w:hAnsi="Arial"/>
          <w:sz w:val="19"/>
        </w:rPr>
      </w:pPr>
      <w:r>
        <w:rPr>
          <w:rFonts w:ascii="Arial" w:hAnsi="Arial"/>
          <w:sz w:val="19"/>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General and Administrative </w:t>
      </w:r>
    </w:p>
    <w:p>
      <w:pPr>
        <w:pStyle w:val="TextBody"/>
        <w:bidi w:val="0"/>
        <w:spacing w:before="40" w:after="0"/>
        <w:jc w:val="left"/>
        <w:rPr>
          <w:rFonts w:ascii="Arial" w:hAnsi="Arial"/>
          <w:sz w:val="19"/>
        </w:rPr>
      </w:pPr>
      <w:r>
        <w:rPr>
          <w:rFonts w:ascii="Arial" w:hAnsi="Arial"/>
          <w:sz w:val="19"/>
        </w:rPr>
        <w:t xml:space="preserve">General and administrative expenses support our key business functions as we grow and mature as a company. General and administrative expenses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personnel-related costs, such as salaries, benefits and stock-based compensation for employees engaged in general and administrative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third-party service providers costs, including fees paid for legal, audit, accounting, consulting and other professional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facility-related, overhead, and other costs, including rent, facility-related overhead, depreciation expense, insurance costs, information technology-related expenses, and other supplies and services. </w:t>
            </w:r>
          </w:p>
        </w:tc>
      </w:tr>
    </w:tbl>
    <w:p>
      <w:pPr>
        <w:pStyle w:val="TextBody"/>
        <w:bidi w:val="0"/>
        <w:spacing w:before="180" w:after="0"/>
        <w:jc w:val="left"/>
        <w:rPr>
          <w:rFonts w:ascii="Arial" w:hAnsi="Arial"/>
          <w:sz w:val="19"/>
        </w:rPr>
      </w:pPr>
      <w:r>
        <w:rPr>
          <w:rFonts w:ascii="Arial" w:hAnsi="Arial"/>
          <w:sz w:val="19"/>
        </w:rPr>
        <w:t xml:space="preserve">We expect that our general and administrative expenses will increase substantially for the foreseeable future to support our expanding headcount and operations as we advance our product candidates through clinical development and commence our pre-commercial planning activities. Following the closing of this offering, we also expect that our costs will increase as a result of operating as a public company related to legal, audit, accounting, regulatory and tax-related services associated with maintaining compliance with exchange listing and SEC requirements, director and officer insurance costs, investor and public relations costs, and other expenses that we did not incur as a private company. </w:t>
      </w:r>
    </w:p>
    <w:p>
      <w:pPr>
        <w:pStyle w:val="TextBody"/>
        <w:bidi w:val="0"/>
        <w:spacing w:before="80" w:after="0"/>
        <w:jc w:val="left"/>
        <w:rPr>
          <w:rFonts w:ascii="Arial" w:hAnsi="Arial"/>
          <w:i/>
          <w:sz w:val="19"/>
        </w:rPr>
      </w:pPr>
      <w:r>
        <w:rPr>
          <w:rFonts w:ascii="Arial" w:hAnsi="Arial"/>
          <w:i/>
          <w:sz w:val="19"/>
        </w:rPr>
        <w:t xml:space="preserve">Other Income (Expense), Net </w:t>
      </w:r>
    </w:p>
    <w:p>
      <w:pPr>
        <w:pStyle w:val="TextBody"/>
        <w:bidi w:val="0"/>
        <w:spacing w:before="40" w:after="0"/>
        <w:jc w:val="left"/>
        <w:rPr>
          <w:rFonts w:ascii="Arial" w:hAnsi="Arial"/>
          <w:sz w:val="19"/>
        </w:rPr>
      </w:pPr>
      <w:r>
        <w:rPr>
          <w:rFonts w:ascii="Arial" w:hAnsi="Arial"/>
          <w:sz w:val="19"/>
        </w:rPr>
        <w:t xml:space="preserve">Our other income, expense, net consists of (i) interest income, (ii) interest expense and (iii) other income (expense). </w:t>
      </w:r>
    </w:p>
    <w:p>
      <w:pPr>
        <w:pStyle w:val="TextBody"/>
        <w:bidi w:val="0"/>
        <w:spacing w:before="80" w:after="0"/>
        <w:jc w:val="left"/>
        <w:rPr>
          <w:rFonts w:ascii="Arial" w:hAnsi="Arial"/>
          <w:i/>
          <w:sz w:val="19"/>
        </w:rPr>
      </w:pPr>
      <w:r>
        <w:rPr>
          <w:rFonts w:ascii="Arial" w:hAnsi="Arial"/>
          <w:i/>
          <w:sz w:val="19"/>
        </w:rPr>
        <w:t xml:space="preserve">Interest Income </w:t>
      </w:r>
    </w:p>
    <w:p>
      <w:pPr>
        <w:pStyle w:val="TextBody"/>
        <w:bidi w:val="0"/>
        <w:spacing w:before="40" w:after="0"/>
        <w:jc w:val="left"/>
        <w:rPr>
          <w:rFonts w:ascii="Arial" w:hAnsi="Arial"/>
          <w:sz w:val="19"/>
        </w:rPr>
      </w:pPr>
      <w:r>
        <w:rPr>
          <w:rFonts w:ascii="Arial" w:hAnsi="Arial"/>
          <w:sz w:val="19"/>
        </w:rPr>
        <w:t xml:space="preserve">Interest income consists primarily of interest from our marketable securities and money market accounts.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consists of the difference between the proceeds received from convertible promissory notes issued in March and June 2025 and the fair value of the convertible promissory notes, which was due to accrued interest on the convertible promissory notes as of the conversion date in October 2025.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income (expense) consists of foreign currency gains and losses. </w:t>
      </w:r>
    </w:p>
    <w:p>
      <w:pPr>
        <w:pStyle w:val="TextBody"/>
        <w:bidi w:val="0"/>
        <w:spacing w:before="80" w:after="0"/>
        <w:jc w:val="left"/>
        <w:rPr>
          <w:rFonts w:ascii="Arial" w:hAnsi="Arial"/>
          <w:b/>
          <w:i/>
          <w:sz w:val="19"/>
        </w:rPr>
      </w:pPr>
      <w:r>
        <w:rPr>
          <w:rFonts w:ascii="Arial" w:hAnsi="Arial"/>
          <w:b/>
          <w:i/>
          <w:sz w:val="19"/>
        </w:rPr>
        <w:t xml:space="preserve">Other Comprehensive Income </w:t>
      </w:r>
    </w:p>
    <w:p>
      <w:pPr>
        <w:pStyle w:val="TextBody"/>
        <w:bidi w:val="0"/>
        <w:spacing w:before="40" w:after="0"/>
        <w:jc w:val="left"/>
        <w:rPr>
          <w:rFonts w:ascii="Arial" w:hAnsi="Arial"/>
          <w:sz w:val="19"/>
        </w:rPr>
      </w:pPr>
      <w:r>
        <w:rPr>
          <w:rFonts w:ascii="Arial" w:hAnsi="Arial"/>
          <w:sz w:val="19"/>
        </w:rPr>
        <w:t xml:space="preserve">Other comprehensive income includes unrealized gains and losses on marketable securities.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Results of Operations </w:t>
      </w:r>
    </w:p>
    <w:p>
      <w:pPr>
        <w:pStyle w:val="TextBody"/>
        <w:bidi w:val="0"/>
        <w:spacing w:before="80" w:after="0"/>
        <w:jc w:val="left"/>
        <w:rPr>
          <w:rFonts w:ascii="Arial" w:hAnsi="Arial"/>
          <w:b/>
          <w:i/>
          <w:sz w:val="19"/>
        </w:rPr>
      </w:pPr>
      <w:r>
        <w:rPr>
          <w:rFonts w:ascii="Arial" w:hAnsi="Arial"/>
          <w:b/>
          <w:i/>
          <w:sz w:val="19"/>
        </w:rPr>
        <w:t xml:space="preserve">Comparison of the Six Months Ended June 30, 2025 and 2026 </w:t>
      </w:r>
    </w:p>
    <w:p>
      <w:pPr>
        <w:pStyle w:val="TextBody"/>
        <w:bidi w:val="0"/>
        <w:spacing w:before="40" w:after="0"/>
        <w:jc w:val="left"/>
        <w:rPr>
          <w:rFonts w:ascii="Arial" w:hAnsi="Arial"/>
          <w:sz w:val="19"/>
        </w:rPr>
      </w:pPr>
      <w:r>
        <w:rPr>
          <w:rFonts w:ascii="Arial" w:hAnsi="Arial"/>
          <w:sz w:val="19"/>
        </w:rPr>
        <w:t xml:space="preserve">The following table summarizes our statements of operations for the periods presented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1"/>
        <w:gridCol w:w="146"/>
        <w:gridCol w:w="159"/>
        <w:gridCol w:w="900"/>
        <w:gridCol w:w="168"/>
        <w:gridCol w:w="108"/>
        <w:gridCol w:w="60"/>
        <w:gridCol w:w="900"/>
        <w:gridCol w:w="168"/>
        <w:gridCol w:w="108"/>
        <w:gridCol w:w="140"/>
        <w:gridCol w:w="761"/>
        <w:gridCol w:w="167"/>
        <w:gridCol w:w="108"/>
        <w:gridCol w:w="60"/>
        <w:gridCol w:w="783"/>
        <w:gridCol w:w="68"/>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9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4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8" w:type="dxa"/>
            <w:tcBorders/>
            <w:vAlign w:val="bottom"/>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18,792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41,637</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22,845</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122%</w:t>
            </w:r>
          </w:p>
        </w:tc>
        <w:tc>
          <w:tcPr>
            <w:tcW w:w="68" w:type="dxa"/>
            <w:tcBorders/>
            <w:vAlign w:val="bottom"/>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5,921</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8,593</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2,672</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45%</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General and administrative – related party</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656</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(656</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(100%)</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25,369</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50,230</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24,861</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98%</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Loss from operations</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(25,369</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(50,230</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(24,861</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98%</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left"/>
              <w:rPr>
                <w:rFonts w:ascii="Arial" w:hAnsi="Arial"/>
                <w:sz w:val="19"/>
              </w:rPr>
            </w:pPr>
            <w:r>
              <w:rPr>
                <w:rFonts w:ascii="Arial" w:hAnsi="Arial"/>
                <w:sz w:val="19"/>
              </w:rPr>
              <w:t>Interest income</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337</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1,320</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983</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292%</w:t>
            </w:r>
          </w:p>
        </w:tc>
        <w:tc>
          <w:tcPr>
            <w:tcW w:w="68" w:type="dxa"/>
            <w:tcBorders/>
            <w:vAlign w:val="bottom"/>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(327</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327</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(100%)</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Other income (expense)</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0%</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8</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1,318</w:t>
            </w:r>
          </w:p>
        </w:tc>
        <w:tc>
          <w:tcPr>
            <w:tcW w:w="16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1,310</w:t>
            </w:r>
          </w:p>
        </w:tc>
        <w:tc>
          <w:tcPr>
            <w:tcW w:w="16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16,375%</w:t>
            </w:r>
          </w:p>
        </w:tc>
        <w:tc>
          <w:tcPr>
            <w:tcW w:w="68" w:type="dxa"/>
            <w:tcBorders/>
            <w:shd w:fill="CCEEFF" w:val="clear"/>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401" w:type="dxa"/>
            <w:tcBorders/>
          </w:tcPr>
          <w:p>
            <w:pPr>
              <w:pStyle w:val="TableContents"/>
              <w:bidi w:val="0"/>
              <w:spacing w:before="0" w:after="0"/>
              <w:jc w:val="left"/>
              <w:rPr>
                <w:rFonts w:ascii="Arial" w:hAnsi="Arial"/>
                <w:sz w:val="19"/>
              </w:rPr>
            </w:pPr>
            <w:r>
              <w:rPr>
                <w:rFonts w:ascii="Arial" w:hAnsi="Arial"/>
                <w:sz w:val="19"/>
              </w:rPr>
              <w:t>Net loss</w:t>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(25,361</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(48,912</w:t>
            </w:r>
          </w:p>
        </w:tc>
        <w:tc>
          <w:tcPr>
            <w:tcW w:w="16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(23,551</w:t>
            </w:r>
          </w:p>
        </w:tc>
        <w:tc>
          <w:tcPr>
            <w:tcW w:w="16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93%</w:t>
            </w:r>
          </w:p>
        </w:tc>
        <w:tc>
          <w:tcPr>
            <w:tcW w:w="68" w:type="dxa"/>
            <w:tcBorders/>
            <w:vAlign w:val="bottom"/>
          </w:tcPr>
          <w:p>
            <w:pPr>
              <w:pStyle w:val="TableContents"/>
              <w:bidi w:val="0"/>
              <w:spacing w:before="0" w:after="283"/>
              <w:jc w:val="left"/>
              <w:rPr/>
            </w:pPr>
            <w:r>
              <w:rPr/>
              <w:t> </w:t>
            </w:r>
          </w:p>
        </w:tc>
      </w:tr>
      <w:tr>
        <w:trPr/>
        <w:tc>
          <w:tcPr>
            <w:tcW w:w="54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i/>
          <w:sz w:val="19"/>
        </w:rPr>
      </w:pPr>
      <w:r>
        <w:rPr>
          <w:rFonts w:ascii="Arial" w:hAnsi="Arial"/>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The following table summarizes our research and development expenses for the periods presented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7"/>
        <w:gridCol w:w="220"/>
        <w:gridCol w:w="167"/>
        <w:gridCol w:w="821"/>
        <w:gridCol w:w="60"/>
        <w:gridCol w:w="220"/>
        <w:gridCol w:w="167"/>
        <w:gridCol w:w="821"/>
        <w:gridCol w:w="60"/>
        <w:gridCol w:w="220"/>
        <w:gridCol w:w="140"/>
        <w:gridCol w:w="686"/>
        <w:gridCol w:w="60"/>
        <w:gridCol w:w="219"/>
        <w:gridCol w:w="60"/>
        <w:gridCol w:w="472"/>
        <w:gridCol w:w="65"/>
      </w:tblGrid>
      <w:tr>
        <w:trPr/>
        <w:tc>
          <w:tcPr>
            <w:tcW w:w="5747"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4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25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3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65"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8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8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5" w:type="dxa"/>
            <w:tcBorders/>
            <w:vAlign w:val="bottom"/>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4006" w:type="dxa"/>
            <w:gridSpan w:val="13"/>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747" w:type="dxa"/>
            <w:tcBorders/>
          </w:tcPr>
          <w:p>
            <w:pPr>
              <w:pStyle w:val="TableContents"/>
              <w:bidi w:val="0"/>
              <w:spacing w:before="0" w:after="0"/>
              <w:jc w:val="left"/>
              <w:rPr>
                <w:rFonts w:ascii="Arial" w:hAnsi="Arial"/>
                <w:sz w:val="19"/>
              </w:rPr>
            </w:pPr>
            <w:r>
              <w:rPr>
                <w:rFonts w:ascii="Arial" w:hAnsi="Arial"/>
                <w:sz w:val="19"/>
              </w:rPr>
              <w:t>Ipsoprubart</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8,154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26,124</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17,970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220%</w:t>
            </w:r>
          </w:p>
        </w:tc>
        <w:tc>
          <w:tcPr>
            <w:tcW w:w="65" w:type="dxa"/>
            <w:tcBorders/>
            <w:vAlign w:val="bottom"/>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5,385</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7,546</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2,161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40%</w:t>
            </w:r>
          </w:p>
        </w:tc>
        <w:tc>
          <w:tcPr>
            <w:tcW w:w="65" w:type="dxa"/>
            <w:tcBorders/>
            <w:shd w:fill="CCEEFF" w:val="clear"/>
            <w:vAlign w:val="bottom"/>
          </w:tcPr>
          <w:p>
            <w:pPr>
              <w:pStyle w:val="TableContents"/>
              <w:bidi w:val="0"/>
              <w:spacing w:before="0" w:after="283"/>
              <w:jc w:val="left"/>
              <w:rPr/>
            </w:pPr>
            <w:r>
              <w:rPr/>
              <w:t> </w:t>
            </w:r>
          </w:p>
        </w:tc>
      </w:tr>
      <w:tr>
        <w:trPr/>
        <w:tc>
          <w:tcPr>
            <w:tcW w:w="5747" w:type="dxa"/>
            <w:tcBorders/>
          </w:tcPr>
          <w:p>
            <w:pPr>
              <w:pStyle w:val="TableContents"/>
              <w:bidi w:val="0"/>
              <w:spacing w:before="0" w:after="0"/>
              <w:jc w:val="left"/>
              <w:rPr>
                <w:rFonts w:ascii="Arial" w:hAnsi="Arial"/>
                <w:sz w:val="19"/>
              </w:rPr>
            </w:pPr>
            <w:r>
              <w:rPr>
                <w:rFonts w:ascii="Arial" w:hAnsi="Arial"/>
                <w:sz w:val="19"/>
              </w:rPr>
              <w:t>Unallocated costs:</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4,251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6,581</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2,330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55%</w:t>
            </w:r>
          </w:p>
        </w:tc>
        <w:tc>
          <w:tcPr>
            <w:tcW w:w="65" w:type="dxa"/>
            <w:tcBorders/>
            <w:shd w:fill="CCEEFF" w:val="clear"/>
            <w:vAlign w:val="bottom"/>
          </w:tcPr>
          <w:p>
            <w:pPr>
              <w:pStyle w:val="TableContents"/>
              <w:bidi w:val="0"/>
              <w:spacing w:before="0" w:after="283"/>
              <w:jc w:val="left"/>
              <w:rPr/>
            </w:pPr>
            <w:r>
              <w:rPr/>
              <w:t> </w:t>
            </w:r>
          </w:p>
        </w:tc>
      </w:tr>
      <w:tr>
        <w:trPr/>
        <w:tc>
          <w:tcPr>
            <w:tcW w:w="5747"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1,002</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1,386</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384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7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47"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18,792</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41,637</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22,845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pPr>
            <w:r>
              <w:rPr/>
              <w:t>122%</w:t>
            </w:r>
          </w:p>
        </w:tc>
        <w:tc>
          <w:tcPr>
            <w:tcW w:w="65" w:type="dxa"/>
            <w:tcBorders/>
            <w:shd w:fill="CCEEFF" w:val="clear"/>
            <w:vAlign w:val="bottom"/>
          </w:tcPr>
          <w:p>
            <w:pPr>
              <w:pStyle w:val="TableContents"/>
              <w:bidi w:val="0"/>
              <w:spacing w:before="0" w:after="283"/>
              <w:jc w:val="left"/>
              <w:rPr/>
            </w:pPr>
            <w:r>
              <w:rPr/>
              <w:t> </w:t>
            </w:r>
          </w:p>
        </w:tc>
      </w:tr>
      <w:tr>
        <w:trPr/>
        <w:tc>
          <w:tcPr>
            <w:tcW w:w="574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7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Research and development expenses increased from $18.8 million for the six months ended June 30, 2025 to $41.6 million for the six months ended June 30, 2026. This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 $18.0 million increase in expenses related to our ipsoprubart program, primarily driven by higher CRO costs, CMO costs, personnel-related expenses and consulting fees associated with the advancement of ipsoprubart into its Phase 2/3 clinical trial, including site initiation and patient enrollment activities that began in mid-2025 and have continued through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$2.2 million increase in expenses related to our other development programs, primarily due to higher CMO costs, material costs, and consulting fees incurred in programs unrelated to ipsoprubart;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$2.3 million increase in personnel-related expenses, primarily attributable to increased headcount to support the advancement of our research and development activities; and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research and development expenses, primarily driven by higher rent expense and costs associated with increased headcount. </w:t>
            </w:r>
          </w:p>
        </w:tc>
      </w:tr>
    </w:tbl>
    <w:p>
      <w:pPr>
        <w:pStyle w:val="TextBody"/>
        <w:bidi w:val="0"/>
        <w:spacing w:before="80" w:after="0"/>
        <w:jc w:val="left"/>
        <w:rPr>
          <w:rFonts w:ascii="Arial" w:hAnsi="Arial"/>
          <w:i/>
          <w:sz w:val="19"/>
        </w:rPr>
      </w:pPr>
      <w:r>
        <w:rPr>
          <w:rFonts w:ascii="Arial" w:hAnsi="Arial"/>
          <w:i/>
          <w:sz w:val="19"/>
        </w:rPr>
        <w:t xml:space="preserve">General and Administrative Expenses </w:t>
      </w:r>
    </w:p>
    <w:p>
      <w:pPr>
        <w:pStyle w:val="TextBody"/>
        <w:bidi w:val="0"/>
        <w:spacing w:before="40" w:after="0"/>
        <w:jc w:val="left"/>
        <w:rPr>
          <w:rFonts w:ascii="Arial" w:hAnsi="Arial"/>
          <w:sz w:val="19"/>
        </w:rPr>
      </w:pPr>
      <w:r>
        <w:rPr>
          <w:rFonts w:ascii="Arial" w:hAnsi="Arial"/>
          <w:sz w:val="19"/>
        </w:rPr>
        <w:t xml:space="preserve">The following table summarizes our general and administrative expenses for the periods presented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14"/>
        <w:gridCol w:w="228"/>
        <w:gridCol w:w="140"/>
        <w:gridCol w:w="659"/>
        <w:gridCol w:w="60"/>
        <w:gridCol w:w="228"/>
        <w:gridCol w:w="60"/>
        <w:gridCol w:w="659"/>
        <w:gridCol w:w="60"/>
        <w:gridCol w:w="228"/>
        <w:gridCol w:w="140"/>
        <w:gridCol w:w="595"/>
        <w:gridCol w:w="155"/>
        <w:gridCol w:w="177"/>
        <w:gridCol w:w="60"/>
        <w:gridCol w:w="381"/>
        <w:gridCol w:w="361"/>
      </w:tblGrid>
      <w:tr>
        <w:trPr/>
        <w:tc>
          <w:tcPr>
            <w:tcW w:w="6014"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01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80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50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361" w:type="dxa"/>
            <w:tcBorders/>
            <w:vAlign w:val="bottom"/>
          </w:tcPr>
          <w:p>
            <w:pPr>
              <w:pStyle w:val="TableContents"/>
              <w:bidi w:val="0"/>
              <w:spacing w:before="0" w:after="283"/>
              <w:jc w:val="left"/>
              <w:rPr/>
            </w:pPr>
            <w:r>
              <w:rPr/>
              <w:t> </w:t>
            </w:r>
          </w:p>
        </w:tc>
      </w:tr>
      <w:tr>
        <w:trPr/>
        <w:tc>
          <w:tcPr>
            <w:tcW w:w="601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1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361" w:type="dxa"/>
            <w:tcBorders/>
            <w:vAlign w:val="bottom"/>
          </w:tcPr>
          <w:p>
            <w:pPr>
              <w:pStyle w:val="TableContents"/>
              <w:bidi w:val="0"/>
              <w:spacing w:before="0" w:after="283"/>
              <w:jc w:val="left"/>
              <w:rPr/>
            </w:pPr>
            <w:r>
              <w:rPr/>
              <w:t> </w:t>
            </w:r>
          </w:p>
        </w:tc>
      </w:tr>
      <w:tr>
        <w:trPr/>
        <w:tc>
          <w:tcPr>
            <w:tcW w:w="6014"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1,577</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3,353</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1,776</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113</w:t>
            </w:r>
          </w:p>
        </w:tc>
        <w:tc>
          <w:tcPr>
            <w:tcW w:w="361" w:type="dxa"/>
            <w:tcBorders/>
            <w:shd w:fill="CCEEFF" w:val="clear"/>
            <w:vAlign w:val="bottom"/>
          </w:tcPr>
          <w:p>
            <w:pPr>
              <w:pStyle w:val="TableContents"/>
              <w:bidi w:val="0"/>
              <w:spacing w:before="0" w:after="283"/>
              <w:jc w:val="left"/>
              <w:rPr/>
            </w:pPr>
            <w:r>
              <w:rPr/>
              <w:t>% </w:t>
            </w:r>
          </w:p>
        </w:tc>
      </w:tr>
      <w:tr>
        <w:trPr/>
        <w:tc>
          <w:tcPr>
            <w:tcW w:w="6014"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4,689</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4,206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(483</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w:t>
            </w:r>
          </w:p>
        </w:tc>
        <w:tc>
          <w:tcPr>
            <w:tcW w:w="361" w:type="dxa"/>
            <w:tcBorders/>
            <w:vAlign w:val="bottom"/>
          </w:tcPr>
          <w:p>
            <w:pPr>
              <w:pStyle w:val="TableContents"/>
              <w:bidi w:val="0"/>
              <w:spacing w:before="0" w:after="283"/>
              <w:jc w:val="left"/>
              <w:rPr/>
            </w:pPr>
            <w:r>
              <w:rPr/>
              <w:t>%) </w:t>
            </w:r>
          </w:p>
        </w:tc>
      </w:tr>
      <w:tr>
        <w:trPr/>
        <w:tc>
          <w:tcPr>
            <w:tcW w:w="6014"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311</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1,034</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723</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232</w:t>
            </w:r>
          </w:p>
        </w:tc>
        <w:tc>
          <w:tcPr>
            <w:tcW w:w="361" w:type="dxa"/>
            <w:tcBorders/>
            <w:shd w:fill="CCEEFF" w:val="clear"/>
            <w:vAlign w:val="bottom"/>
          </w:tcPr>
          <w:p>
            <w:pPr>
              <w:pStyle w:val="TableContents"/>
              <w:bidi w:val="0"/>
              <w:spacing w:before="0" w:after="283"/>
              <w:jc w:val="left"/>
              <w:rPr/>
            </w:pPr>
            <w:r>
              <w:rPr/>
              <w:t>% </w:t>
            </w:r>
          </w:p>
        </w:tc>
      </w:tr>
      <w:tr>
        <w:trPr/>
        <w:tc>
          <w:tcPr>
            <w:tcW w:w="6014"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6014"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6,577</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8,593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2,016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31</w:t>
            </w:r>
          </w:p>
        </w:tc>
        <w:tc>
          <w:tcPr>
            <w:tcW w:w="361" w:type="dxa"/>
            <w:tcBorders/>
            <w:vAlign w:val="bottom"/>
          </w:tcPr>
          <w:p>
            <w:pPr>
              <w:pStyle w:val="TableContents"/>
              <w:bidi w:val="0"/>
              <w:spacing w:before="0" w:after="283"/>
              <w:jc w:val="left"/>
              <w:rPr/>
            </w:pPr>
            <w:r>
              <w:rPr/>
              <w:t>% </w:t>
            </w:r>
          </w:p>
        </w:tc>
      </w:tr>
      <w:tr>
        <w:trPr/>
        <w:tc>
          <w:tcPr>
            <w:tcW w:w="6014"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General and administrative expenses increased from $6.6 million for the six months ended June 30, 2025 to $8.6 million for the six months ended June 30, 2026. This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$1.8 million increase in personnel-related expenses, primarily driven by increased general and administrative headcount to support our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$0.7 million increase in other general and administrative expenses, primarily driven by higher rent expense and costs associated with increased headcount; partially offset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$0.5 million decrease in fees for third-party service providers, primarily due to higher legal and accounting expenses incurred in 2025 in relation to financing activities. </w:t>
            </w:r>
          </w:p>
        </w:tc>
      </w:tr>
    </w:tbl>
    <w:p>
      <w:pPr>
        <w:pStyle w:val="TextBody"/>
        <w:bidi w:val="0"/>
        <w:spacing w:before="80" w:after="0"/>
        <w:jc w:val="left"/>
        <w:rPr>
          <w:rFonts w:ascii="Arial" w:hAnsi="Arial"/>
          <w:b/>
          <w:i/>
          <w:sz w:val="19"/>
        </w:rPr>
      </w:pPr>
      <w:r>
        <w:rPr>
          <w:rFonts w:ascii="Arial" w:hAnsi="Arial"/>
          <w:b/>
          <w:i/>
          <w:sz w:val="19"/>
        </w:rPr>
        <w:t xml:space="preserve">Other Income (Expense), Net </w:t>
      </w:r>
    </w:p>
    <w:p>
      <w:pPr>
        <w:pStyle w:val="TextBody"/>
        <w:bidi w:val="0"/>
        <w:spacing w:before="40" w:after="0"/>
        <w:jc w:val="left"/>
        <w:rPr>
          <w:rFonts w:ascii="Arial" w:hAnsi="Arial"/>
          <w:i/>
          <w:sz w:val="19"/>
        </w:rPr>
      </w:pPr>
      <w:r>
        <w:rPr>
          <w:rFonts w:ascii="Arial" w:hAnsi="Arial"/>
          <w:i/>
          <w:sz w:val="19"/>
        </w:rPr>
        <w:t xml:space="preserve">Interest Income </w:t>
      </w:r>
    </w:p>
    <w:p>
      <w:pPr>
        <w:pStyle w:val="TextBody"/>
        <w:bidi w:val="0"/>
        <w:spacing w:before="40" w:after="0"/>
        <w:jc w:val="left"/>
        <w:rPr>
          <w:rFonts w:ascii="Arial" w:hAnsi="Arial"/>
          <w:sz w:val="19"/>
        </w:rPr>
      </w:pPr>
      <w:r>
        <w:rPr>
          <w:rFonts w:ascii="Arial" w:hAnsi="Arial"/>
          <w:sz w:val="19"/>
        </w:rPr>
        <w:t xml:space="preserve">Interest income increased from $0.3 million for the six months ended June 30, 2025 to $1.3 million for the six months ended June 30, 2026. This increase was primarily due to higher average balances of marketable securities and higher interest rates and returns.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decreased from $0.3 million for the six months ended June 30, 2025 to zero for the six months ended June 30, 2026. The decrease was due to the difference between the proceeds received from convertible promissory notes issued in March and June 2025 and the fair value of the notes as of June 30, 2025. There was no interest expense during the six months ended June 30, 2026 on these convertible promissory notes, as the convertible promissory notes were fully converted to our Series C redeemable convertible preferred stock in October 2025.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expense, net was less than $0.1 million for the six months ended June 30, 2026 and 2025 and related primarily to foreign currency gains and losses. </w:t>
      </w:r>
    </w:p>
    <w:p>
      <w:pPr>
        <w:pStyle w:val="TextBody"/>
        <w:bidi w:val="0"/>
        <w:spacing w:before="240" w:after="0"/>
        <w:jc w:val="left"/>
        <w:rPr>
          <w:rFonts w:ascii="Arial" w:hAnsi="Arial"/>
          <w:b/>
          <w:sz w:val="20"/>
        </w:rPr>
      </w:pPr>
      <w:r>
        <w:rPr>
          <w:rFonts w:ascii="Arial" w:hAnsi="Arial"/>
          <w:b/>
          <w:sz w:val="20"/>
        </w:rPr>
        <w:t xml:space="preserve">Liquidity and Capital Resources </w:t>
      </w:r>
    </w:p>
    <w:p>
      <w:pPr>
        <w:pStyle w:val="TextBody"/>
        <w:bidi w:val="0"/>
        <w:spacing w:before="40" w:after="0"/>
        <w:jc w:val="left"/>
        <w:rPr>
          <w:rFonts w:ascii="Arial" w:hAnsi="Arial"/>
          <w:sz w:val="19"/>
        </w:rPr>
      </w:pPr>
      <w:r>
        <w:rPr>
          <w:rFonts w:ascii="Arial" w:hAnsi="Arial"/>
          <w:b/>
          <w:i/>
          <w:sz w:val="19"/>
        </w:rPr>
        <w:t>Sources of Liquidity</w:t>
      </w:r>
      <w:r>
        <w:rPr>
          <w:rFonts w:ascii="Arial" w:hAnsi="Arial"/>
          <w:sz w:val="19"/>
        </w:rPr>
        <w:t xml:space="preserve"> </w:t>
      </w:r>
    </w:p>
    <w:p>
      <w:pPr>
        <w:pStyle w:val="TextBody"/>
        <w:bidi w:val="0"/>
        <w:spacing w:before="40" w:after="0"/>
        <w:jc w:val="left"/>
        <w:rPr>
          <w:rFonts w:ascii="Arial" w:hAnsi="Arial"/>
          <w:sz w:val="19"/>
        </w:rPr>
      </w:pPr>
      <w:r>
        <w:rPr>
          <w:rFonts w:ascii="Arial" w:hAnsi="Arial"/>
          <w:sz w:val="19"/>
        </w:rPr>
        <w:t xml:space="preserve">Since our inception, we have incurred significant net losses and negative cash flows in each period and on an aggregate basis. We have incurred significant net operating losses from operations since inception and had an accumulated deficit of $221.9 million as of June 30, 2026. Additionally, we anticipate that our operating losses and negative operating cash flows will increase for the foreseeable future as we continue to expand our research and development programs. </w:t>
      </w:r>
    </w:p>
    <w:p>
      <w:pPr>
        <w:pStyle w:val="TextBody"/>
        <w:bidi w:val="0"/>
        <w:spacing w:before="180" w:after="0"/>
        <w:jc w:val="left"/>
        <w:rPr>
          <w:rFonts w:ascii="Arial" w:hAnsi="Arial"/>
          <w:sz w:val="19"/>
        </w:rPr>
      </w:pPr>
      <w:r>
        <w:rPr>
          <w:rFonts w:ascii="Arial" w:hAnsi="Arial"/>
          <w:sz w:val="19"/>
        </w:rPr>
        <w:t xml:space="preserve">Since our inception, we have devoted substantially all of our resources to organizing and staffing our company, business planning, identifying product candidates, establishing our intellectual property portfolio, conducting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research and nonclinical studies, including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18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issuance of convertible promissory notes. As of June 30, 2026, issuances and sales of our redeemable convertible preferred stock have resulted in aggregate gross proceeds of $301.4 million. </w:t>
      </w:r>
    </w:p>
    <w:p>
      <w:pPr>
        <w:pStyle w:val="TextBody"/>
        <w:bidi w:val="0"/>
        <w:spacing w:before="180" w:after="0"/>
        <w:jc w:val="left"/>
        <w:rPr>
          <w:rFonts w:ascii="Arial" w:hAnsi="Arial"/>
          <w:sz w:val="19"/>
        </w:rPr>
      </w:pPr>
      <w:r>
        <w:rPr>
          <w:rFonts w:ascii="Arial" w:hAnsi="Arial"/>
          <w:sz w:val="19"/>
        </w:rPr>
        <w:t xml:space="preserve">On June 18, 2026, we completed the second closing of our Series C redeemable convertible preferred stock financing and issued 7,378,708 shares of our Series C redeemable convertible preferred stock at a purchase price of $6.7688 per share, resulting in gross proceeds of $49.9 million. </w:t>
      </w:r>
    </w:p>
    <w:p>
      <w:pPr>
        <w:pStyle w:val="TextBody"/>
        <w:bidi w:val="0"/>
        <w:spacing w:before="80" w:after="0"/>
        <w:jc w:val="left"/>
        <w:rPr>
          <w:rFonts w:ascii="Arial" w:hAnsi="Arial"/>
          <w:i/>
          <w:sz w:val="19"/>
        </w:rPr>
      </w:pPr>
      <w:r>
        <w:rPr>
          <w:rFonts w:ascii="Arial" w:hAnsi="Arial"/>
          <w:i/>
          <w:sz w:val="19"/>
        </w:rPr>
        <w:t xml:space="preserve">Funding Requirements </w:t>
      </w:r>
    </w:p>
    <w:p>
      <w:pPr>
        <w:pStyle w:val="TextBody"/>
        <w:bidi w:val="0"/>
        <w:spacing w:before="40" w:after="0"/>
        <w:jc w:val="left"/>
        <w:rPr>
          <w:rFonts w:ascii="Arial" w:hAnsi="Arial"/>
          <w:sz w:val="19"/>
        </w:rPr>
      </w:pPr>
      <w:r>
        <w:rPr>
          <w:rFonts w:ascii="Arial" w:hAnsi="Arial"/>
          <w:sz w:val="19"/>
        </w:rPr>
        <w:t xml:space="preserve">As of June 30, 2026, we had cash, cash equivalents and marketable securities of $97.7 million. </w:t>
      </w:r>
    </w:p>
    <w:p>
      <w:pPr>
        <w:pStyle w:val="TextBody"/>
        <w:bidi w:val="0"/>
        <w:spacing w:before="180" w:after="0"/>
        <w:jc w:val="left"/>
        <w:rPr>
          <w:rFonts w:ascii="Arial" w:hAnsi="Arial"/>
          <w:sz w:val="19"/>
        </w:rPr>
      </w:pPr>
      <w:r>
        <w:rPr>
          <w:rFonts w:ascii="Arial" w:hAnsi="Arial"/>
          <w:sz w:val="19"/>
        </w:rPr>
        <w:t xml:space="preserve">We have incurred recurring losses and negative cash flows from operations and expect to continue to incur losses for the foreseeable future. Without giving effect to the anticipated net proceeds from this offering, we estimate that our existing cash, cash equivalents and marketable securities as of June 30, 2026 will not be sufficient to fund our operations for the next 12 months and, therefore, have concluded that circumstances exist that raise substantial doubt about our ability to continue as a going concern. </w:t>
      </w:r>
    </w:p>
    <w:p>
      <w:pPr>
        <w:pStyle w:val="TextBody"/>
        <w:bidi w:val="0"/>
        <w:spacing w:before="180" w:after="0"/>
        <w:jc w:val="left"/>
        <w:rPr>
          <w:rFonts w:ascii="Arial" w:hAnsi="Arial"/>
          <w:sz w:val="20"/>
        </w:rPr>
      </w:pPr>
      <w:r>
        <w:rPr>
          <w:rFonts w:ascii="Arial" w:hAnsi="Arial"/>
          <w:sz w:val="20"/>
        </w:rPr>
        <w:t xml:space="preserve">Our principal uses of cash in recent periods have been funding our research and development activities, including personnel-related costs, and general and administrative expenses.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scope, progress, results and costs of researching, developing and manufacturing our product candidates or any future product candidates, and conducting nonclinical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number and characteristics of any additional product candidates we develop or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and the costs involved in, obtaining regulatory approvals or clearances for our product candidates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expenses needed to attract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 of any future product candidates and any products we successfully commercialize;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receipt and amount of sales of any future approved or cleared products,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establish and maintain strategic collaborations, licensing or other arrangements and the financial terms of any such agreements that we may enter into, including the timing and amount of any future milestone, royalty or other payments due under any such agreement. </w:t>
            </w:r>
          </w:p>
        </w:tc>
      </w:tr>
    </w:tbl>
    <w:p>
      <w:pPr>
        <w:pStyle w:val="TextBody"/>
        <w:bidi w:val="0"/>
        <w:spacing w:before="180" w:after="0"/>
        <w:jc w:val="left"/>
        <w:rPr>
          <w:rFonts w:ascii="Arial" w:hAnsi="Arial"/>
          <w:sz w:val="19"/>
        </w:rPr>
      </w:pPr>
      <w:r>
        <w:rPr>
          <w:rFonts w:ascii="Arial" w:hAnsi="Arial"/>
          <w:sz w:val="19"/>
        </w:rPr>
        <w:t xml:space="preserve">We may not be 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19"/>
        </w:rPr>
      </w:pPr>
      <w:r>
        <w:rPr>
          <w:rFonts w:ascii="Arial" w:hAnsi="Arial"/>
          <w:b/>
          <w:sz w:val="19"/>
        </w:rPr>
        <w:t xml:space="preserve">Cash Flow Summary </w:t>
      </w:r>
    </w:p>
    <w:p>
      <w:pPr>
        <w:pStyle w:val="TextBody"/>
        <w:bidi w:val="0"/>
        <w:spacing w:before="40" w:after="0"/>
        <w:jc w:val="left"/>
        <w:rPr>
          <w:rFonts w:ascii="Arial" w:hAnsi="Arial"/>
          <w:sz w:val="19"/>
        </w:rPr>
      </w:pPr>
      <w:r>
        <w:rPr>
          <w:rFonts w:ascii="Arial" w:hAnsi="Arial"/>
          <w:sz w:val="19"/>
        </w:rPr>
        <w:t xml:space="preserve">The following table summarizes our cash flows for the periods presented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3"/>
        <w:gridCol w:w="214"/>
        <w:gridCol w:w="140"/>
        <w:gridCol w:w="892"/>
        <w:gridCol w:w="181"/>
        <w:gridCol w:w="167"/>
        <w:gridCol w:w="140"/>
        <w:gridCol w:w="892"/>
        <w:gridCol w:w="155"/>
        <w:gridCol w:w="167"/>
        <w:gridCol w:w="172"/>
        <w:gridCol w:w="1028"/>
        <w:gridCol w:w="155"/>
        <w:gridCol w:w="167"/>
        <w:gridCol w:w="60"/>
        <w:gridCol w:w="619"/>
        <w:gridCol w:w="283"/>
      </w:tblGrid>
      <w:tr>
        <w:trPr/>
        <w:tc>
          <w:tcPr>
            <w:tcW w:w="477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1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20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3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3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Arial" w:hAnsi="Arial"/>
                <w:b/>
                <w:sz w:val="19"/>
              </w:rPr>
            </w:pPr>
            <w:r>
              <w:rPr>
                <w:rFonts w:ascii="Arial" w:hAnsi="Arial"/>
                <w:b/>
                <w:sz w:val="19"/>
              </w:rPr>
              <w:t>Net cash provided by (used in):</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4773" w:type="dxa"/>
            <w:tcBorders/>
          </w:tcPr>
          <w:p>
            <w:pPr>
              <w:pStyle w:val="TableContents"/>
              <w:bidi w:val="0"/>
              <w:spacing w:before="0" w:after="0"/>
              <w:jc w:val="left"/>
              <w:rPr>
                <w:rFonts w:ascii="Arial" w:hAnsi="Arial"/>
                <w:sz w:val="19"/>
              </w:rPr>
            </w:pPr>
            <w:r>
              <w:rPr>
                <w:rFonts w:ascii="Arial" w:hAnsi="Arial"/>
                <w:sz w:val="19"/>
              </w:rPr>
              <w:t>Operating activities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(24,688</w:t>
            </w:r>
          </w:p>
        </w:tc>
        <w:tc>
          <w:tcPr>
            <w:tcW w:w="1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(38,879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(14,191</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57</w:t>
            </w:r>
          </w:p>
        </w:tc>
        <w:tc>
          <w:tcPr>
            <w:tcW w:w="283"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Arial" w:hAnsi="Arial"/>
                <w:sz w:val="19"/>
              </w:rPr>
            </w:pPr>
            <w:r>
              <w:rPr>
                <w:rFonts w:ascii="Arial" w:hAnsi="Arial"/>
                <w:sz w:val="19"/>
              </w:rPr>
              <w:t>Investing activities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881</w:t>
            </w:r>
          </w:p>
        </w:tc>
        <w:tc>
          <w:tcPr>
            <w:tcW w:w="1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22,771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21,890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2,485</w:t>
            </w:r>
          </w:p>
        </w:tc>
        <w:tc>
          <w:tcPr>
            <w:tcW w:w="283"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Arial" w:hAnsi="Arial"/>
                <w:sz w:val="19"/>
              </w:rPr>
            </w:pPr>
            <w:r>
              <w:rPr>
                <w:rFonts w:ascii="Arial" w:hAnsi="Arial"/>
                <w:sz w:val="19"/>
              </w:rPr>
              <w:t>Financing activities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40,000</w:t>
            </w:r>
          </w:p>
        </w:tc>
        <w:tc>
          <w:tcPr>
            <w:tcW w:w="18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49,607</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9,607</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24</w:t>
            </w:r>
          </w:p>
        </w:tc>
        <w:tc>
          <w:tcPr>
            <w:tcW w:w="283"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Arial" w:hAnsi="Arial"/>
                <w:sz w:val="19"/>
              </w:rPr>
            </w:pPr>
            <w:r>
              <w:rPr>
                <w:rFonts w:ascii="Arial" w:hAnsi="Arial"/>
                <w:sz w:val="19"/>
              </w:rPr>
              <w:t>Net increase in cash and cash equivalents</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16,193</w:t>
            </w:r>
          </w:p>
        </w:tc>
        <w:tc>
          <w:tcPr>
            <w:tcW w:w="18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33,499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17,306</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107</w:t>
            </w:r>
          </w:p>
        </w:tc>
        <w:tc>
          <w:tcPr>
            <w:tcW w:w="283"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i/>
          <w:sz w:val="19"/>
        </w:rPr>
      </w:pPr>
      <w:r>
        <w:rPr>
          <w:rFonts w:ascii="Arial" w:hAnsi="Arial"/>
          <w:b/>
          <w:i/>
          <w:sz w:val="19"/>
        </w:rPr>
        <w:t xml:space="preserve">Operating Activities </w:t>
      </w:r>
    </w:p>
    <w:p>
      <w:pPr>
        <w:pStyle w:val="TextBody"/>
        <w:bidi w:val="0"/>
        <w:spacing w:before="40" w:after="0"/>
        <w:jc w:val="left"/>
        <w:rPr>
          <w:rFonts w:ascii="Arial" w:hAnsi="Arial"/>
          <w:sz w:val="19"/>
        </w:rPr>
      </w:pPr>
      <w:r>
        <w:rPr>
          <w:rFonts w:ascii="Arial" w:hAnsi="Arial"/>
          <w:sz w:val="19"/>
        </w:rPr>
        <w:t xml:space="preserve">Net cash used in operating activities for the six months ended June 30, 2026 of $38.9 million was primarily due to our net loss of $48.9 million and $0.5 million of net amortization of premiums and discounts of marketable securities, partially offset by a $7.5 million net change in operating assets and liabilities, $2.6 million non-cash stock-based compensation expense, $0.3 million non-cash lease expense, and $0.1 million depreciation expense. </w:t>
      </w:r>
    </w:p>
    <w:p>
      <w:pPr>
        <w:pStyle w:val="TextBody"/>
        <w:bidi w:val="0"/>
        <w:spacing w:before="180" w:after="0"/>
        <w:jc w:val="left"/>
        <w:rPr>
          <w:rFonts w:ascii="Arial" w:hAnsi="Arial"/>
          <w:sz w:val="19"/>
        </w:rPr>
      </w:pPr>
      <w:r>
        <w:rPr>
          <w:rFonts w:ascii="Arial" w:hAnsi="Arial"/>
          <w:sz w:val="19"/>
        </w:rPr>
        <w:t xml:space="preserve">Net cash used in operating activities for the six months ended June 30, 2025 of $24.7 million was primarily due to our net loss of $25.4 million and $0.5 million of net decrease in operating assets and liabilities, partially offset by $0.9 million non-cash stock-based compensation expense and $0.3 million non-cash interest expense related to convertible promissory notes. </w:t>
      </w:r>
    </w:p>
    <w:p>
      <w:pPr>
        <w:pStyle w:val="TextBody"/>
        <w:bidi w:val="0"/>
        <w:spacing w:before="80" w:after="0"/>
        <w:jc w:val="left"/>
        <w:rPr>
          <w:rFonts w:ascii="Arial" w:hAnsi="Arial"/>
          <w:b/>
          <w:i/>
          <w:sz w:val="19"/>
        </w:rPr>
      </w:pPr>
      <w:r>
        <w:rPr>
          <w:rFonts w:ascii="Arial" w:hAnsi="Arial"/>
          <w:b/>
          <w:i/>
          <w:sz w:val="19"/>
        </w:rPr>
        <w:t xml:space="preserve">Investing Activities </w:t>
      </w:r>
    </w:p>
    <w:p>
      <w:pPr>
        <w:pStyle w:val="TextBody"/>
        <w:bidi w:val="0"/>
        <w:spacing w:before="40" w:after="0"/>
        <w:jc w:val="left"/>
        <w:rPr>
          <w:rFonts w:ascii="Arial" w:hAnsi="Arial"/>
          <w:sz w:val="19"/>
        </w:rPr>
      </w:pPr>
      <w:r>
        <w:rPr>
          <w:rFonts w:ascii="Arial" w:hAnsi="Arial"/>
          <w:sz w:val="19"/>
        </w:rPr>
        <w:t xml:space="preserve">Net cash provided by investing activities was $22.8 million for the six months ended June 30, 2026, which consisted primarily of $37.4 million of proceeds from the maturity of marketable securities, partially offset by $14.6 million in purchases of marketable securities. </w:t>
      </w:r>
    </w:p>
    <w:p>
      <w:pPr>
        <w:pStyle w:val="TextBody"/>
        <w:bidi w:val="0"/>
        <w:spacing w:before="180" w:after="0"/>
        <w:jc w:val="left"/>
        <w:rPr>
          <w:rFonts w:ascii="Arial" w:hAnsi="Arial"/>
          <w:sz w:val="19"/>
        </w:rPr>
      </w:pPr>
      <w:r>
        <w:rPr>
          <w:rFonts w:ascii="Arial" w:hAnsi="Arial"/>
          <w:sz w:val="19"/>
        </w:rPr>
        <w:t xml:space="preserve">Net cash provided by investing activities was $0.9 million for the six months ended June 30, 2025, which consisted primarily of $1.0 million of proceeds from marketable securities, offset by $0.1 million in purchases of equipment. </w:t>
      </w:r>
    </w:p>
    <w:p>
      <w:pPr>
        <w:pStyle w:val="TextBody"/>
        <w:bidi w:val="0"/>
        <w:spacing w:before="80" w:after="0"/>
        <w:jc w:val="left"/>
        <w:rPr>
          <w:rFonts w:ascii="Arial" w:hAnsi="Arial"/>
          <w:b/>
          <w:i/>
          <w:sz w:val="19"/>
        </w:rPr>
      </w:pPr>
      <w:r>
        <w:rPr>
          <w:rFonts w:ascii="Arial" w:hAnsi="Arial"/>
          <w:b/>
          <w:i/>
          <w:sz w:val="19"/>
        </w:rPr>
        <w:t xml:space="preserve">Financing Activities </w:t>
      </w:r>
    </w:p>
    <w:p>
      <w:pPr>
        <w:pStyle w:val="TextBody"/>
        <w:bidi w:val="0"/>
        <w:spacing w:before="40" w:after="0"/>
        <w:jc w:val="left"/>
        <w:rPr>
          <w:rFonts w:ascii="Arial" w:hAnsi="Arial"/>
          <w:sz w:val="19"/>
        </w:rPr>
      </w:pPr>
      <w:r>
        <w:rPr>
          <w:rFonts w:ascii="Arial" w:hAnsi="Arial"/>
          <w:sz w:val="19"/>
        </w:rPr>
        <w:t xml:space="preserve">Net cash provided by financing activities was $49.6 million for the six months ended June 30, 2026, which was attributable to the net proceeds from the issuance and sale of shares of our Series C redeemable convertible preferred stock in the Second Tranche Closing. </w:t>
      </w:r>
    </w:p>
    <w:p>
      <w:pPr>
        <w:pStyle w:val="TextBody"/>
        <w:bidi w:val="0"/>
        <w:spacing w:before="180" w:after="0"/>
        <w:jc w:val="left"/>
        <w:rPr>
          <w:rFonts w:ascii="Arial" w:hAnsi="Arial"/>
          <w:sz w:val="19"/>
        </w:rPr>
      </w:pPr>
      <w:r>
        <w:rPr>
          <w:rFonts w:ascii="Arial" w:hAnsi="Arial"/>
          <w:sz w:val="19"/>
        </w:rPr>
        <w:t xml:space="preserve">Net cash provided by financing activities was $40.0 million for the six months ended June 30, 2025, resulting from the issuance of our convertible promissory notes, which were fully converted during the year ended December 31, 2025 into shares of our Series C redeemable convertible preferred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Comparison of the Years Ended December 31, 2024 and 2025 </w:t>
      </w:r>
    </w:p>
    <w:p>
      <w:pPr>
        <w:pStyle w:val="TextBody"/>
        <w:bidi w:val="0"/>
        <w:spacing w:before="40" w:after="0"/>
        <w:jc w:val="left"/>
        <w:rPr>
          <w:rFonts w:ascii="Arial" w:hAnsi="Arial"/>
          <w:sz w:val="19"/>
        </w:rPr>
      </w:pPr>
      <w:r>
        <w:rPr>
          <w:rFonts w:ascii="Arial" w:hAnsi="Arial"/>
          <w:sz w:val="19"/>
        </w:rPr>
        <w:t xml:space="preserve">The following table summarizes our statements of operations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97"/>
        <w:gridCol w:w="212"/>
        <w:gridCol w:w="140"/>
        <w:gridCol w:w="770"/>
        <w:gridCol w:w="155"/>
        <w:gridCol w:w="180"/>
        <w:gridCol w:w="140"/>
        <w:gridCol w:w="770"/>
        <w:gridCol w:w="155"/>
        <w:gridCol w:w="180"/>
        <w:gridCol w:w="140"/>
        <w:gridCol w:w="770"/>
        <w:gridCol w:w="154"/>
        <w:gridCol w:w="180"/>
        <w:gridCol w:w="60"/>
        <w:gridCol w:w="537"/>
        <w:gridCol w:w="165"/>
      </w:tblGrid>
      <w:tr>
        <w:trPr/>
        <w:tc>
          <w:tcPr>
            <w:tcW w:w="5497"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9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5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4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59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37"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5497"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19,267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50,387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31,120</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162%</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7,050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11,502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4,452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63%</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Total operating expenses</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26,317</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61,889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35,572</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135%</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Loss from operations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(26,317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(61,889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(35,572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135%</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Other income (expense),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Interest income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1,362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(11%</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Interest expense – related party</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(1,433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(1,433</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100%</w:t>
            </w:r>
          </w:p>
        </w:tc>
        <w:tc>
          <w:tcPr>
            <w:tcW w:w="165" w:type="dxa"/>
            <w:tcBorders/>
            <w:vAlign w:val="bottom"/>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Other income (expense)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(22</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(314%</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tcPr>
          <w:p>
            <w:pPr>
              <w:pStyle w:val="TableContents"/>
              <w:bidi w:val="0"/>
              <w:spacing w:before="0" w:after="0"/>
              <w:jc w:val="left"/>
              <w:rPr>
                <w:rFonts w:ascii="Arial" w:hAnsi="Arial"/>
                <w:sz w:val="19"/>
              </w:rPr>
            </w:pPr>
            <w:r>
              <w:rPr>
                <w:rFonts w:ascii="Arial" w:hAnsi="Arial"/>
                <w:sz w:val="19"/>
              </w:rPr>
              <w:t>Total other income (expense), net</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1,531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(1,617</w:t>
            </w:r>
          </w:p>
        </w:tc>
        <w:tc>
          <w:tcPr>
            <w:tcW w:w="15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(106%</w:t>
            </w:r>
          </w:p>
        </w:tc>
        <w:tc>
          <w:tcPr>
            <w:tcW w:w="165" w:type="dxa"/>
            <w:tcBorders/>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497" w:type="dxa"/>
            <w:tcBorders/>
            <w:shd w:fill="CCEEFF" w:val="clear"/>
          </w:tcPr>
          <w:p>
            <w:pPr>
              <w:pStyle w:val="TableContents"/>
              <w:bidi w:val="0"/>
              <w:spacing w:before="0" w:after="0"/>
              <w:jc w:val="left"/>
              <w:rPr>
                <w:rFonts w:ascii="Arial" w:hAnsi="Arial"/>
                <w:sz w:val="19"/>
              </w:rPr>
            </w:pPr>
            <w:r>
              <w:rPr>
                <w:rFonts w:ascii="Arial" w:hAnsi="Arial"/>
                <w:sz w:val="19"/>
              </w:rPr>
              <w:t>Net loss</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(24,786</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(37,189</w:t>
            </w:r>
          </w:p>
        </w:tc>
        <w:tc>
          <w:tcPr>
            <w:tcW w:w="15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150%</w:t>
            </w:r>
          </w:p>
        </w:tc>
        <w:tc>
          <w:tcPr>
            <w:tcW w:w="165" w:type="dxa"/>
            <w:tcBorders/>
            <w:shd w:fill="CCEEFF" w:val="clear"/>
            <w:vAlign w:val="bottom"/>
          </w:tcPr>
          <w:p>
            <w:pPr>
              <w:pStyle w:val="TableContents"/>
              <w:bidi w:val="0"/>
              <w:spacing w:before="0" w:after="283"/>
              <w:jc w:val="left"/>
              <w:rPr/>
            </w:pPr>
            <w:r>
              <w:rPr/>
              <w:t> </w:t>
            </w:r>
          </w:p>
        </w:tc>
      </w:tr>
      <w:tr>
        <w:trPr/>
        <w:tc>
          <w:tcPr>
            <w:tcW w:w="549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7"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b/>
          <w:i/>
          <w:sz w:val="19"/>
        </w:rPr>
      </w:pPr>
      <w:r>
        <w:rPr>
          <w:rFonts w:ascii="Arial" w:hAnsi="Arial"/>
          <w:b/>
          <w:i/>
          <w:sz w:val="19"/>
        </w:rPr>
        <w:t xml:space="preserve">Operating Expenses </w:t>
      </w:r>
    </w:p>
    <w:p>
      <w:pPr>
        <w:pStyle w:val="TextBody"/>
        <w:bidi w:val="0"/>
        <w:spacing w:before="40" w:after="0"/>
        <w:jc w:val="left"/>
        <w:rPr>
          <w:rFonts w:ascii="Arial" w:hAnsi="Arial"/>
          <w:i/>
          <w:sz w:val="19"/>
        </w:rPr>
      </w:pPr>
      <w:r>
        <w:rPr>
          <w:rFonts w:ascii="Arial" w:hAnsi="Arial"/>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The following table summarizes our research and development expenses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8"/>
        <w:gridCol w:w="219"/>
        <w:gridCol w:w="140"/>
        <w:gridCol w:w="683"/>
        <w:gridCol w:w="60"/>
        <w:gridCol w:w="219"/>
        <w:gridCol w:w="140"/>
        <w:gridCol w:w="683"/>
        <w:gridCol w:w="60"/>
        <w:gridCol w:w="219"/>
        <w:gridCol w:w="140"/>
        <w:gridCol w:w="683"/>
        <w:gridCol w:w="60"/>
        <w:gridCol w:w="219"/>
        <w:gridCol w:w="60"/>
        <w:gridCol w:w="439"/>
        <w:gridCol w:w="63"/>
      </w:tblGrid>
      <w:tr>
        <w:trPr/>
        <w:tc>
          <w:tcPr>
            <w:tcW w:w="6118"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1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92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60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63" w:type="dxa"/>
            <w:tcBorders/>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2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9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3" w:type="dxa"/>
            <w:tcBorders/>
            <w:vAlign w:val="bottom"/>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665" w:type="dxa"/>
            <w:gridSpan w:val="13"/>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118" w:type="dxa"/>
            <w:tcBorders/>
          </w:tcPr>
          <w:p>
            <w:pPr>
              <w:pStyle w:val="TableContents"/>
              <w:bidi w:val="0"/>
              <w:spacing w:before="0" w:after="0"/>
              <w:jc w:val="left"/>
              <w:rPr>
                <w:rFonts w:ascii="Arial" w:hAnsi="Arial"/>
                <w:sz w:val="19"/>
              </w:rPr>
            </w:pPr>
            <w:r>
              <w:rPr>
                <w:rFonts w:ascii="Arial" w:hAnsi="Arial"/>
                <w:sz w:val="19"/>
              </w:rPr>
              <w:t>Ipsoprubart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6,794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26,100</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19,306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284%</w:t>
            </w:r>
          </w:p>
        </w:tc>
        <w:tc>
          <w:tcPr>
            <w:tcW w:w="63" w:type="dxa"/>
            <w:tcBorders/>
            <w:vAlign w:val="bottom"/>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4,360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12,594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8,234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189%</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tcPr>
          <w:p>
            <w:pPr>
              <w:pStyle w:val="TableContents"/>
              <w:bidi w:val="0"/>
              <w:spacing w:before="0" w:after="0"/>
              <w:jc w:val="left"/>
              <w:rPr>
                <w:rFonts w:ascii="Arial" w:hAnsi="Arial"/>
                <w:sz w:val="19"/>
              </w:rPr>
            </w:pPr>
            <w:r>
              <w:rPr>
                <w:rFonts w:ascii="Arial" w:hAnsi="Arial"/>
                <w:sz w:val="19"/>
              </w:rPr>
              <w:t>Unallocated costs: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6,115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9,339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3,224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53%</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1,998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2,354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356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18"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19,267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50,387</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31,120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162%</w:t>
            </w:r>
          </w:p>
        </w:tc>
        <w:tc>
          <w:tcPr>
            <w:tcW w:w="63" w:type="dxa"/>
            <w:tcBorders/>
            <w:shd w:fill="CCEEFF" w:val="clear"/>
            <w:vAlign w:val="bottom"/>
          </w:tcPr>
          <w:p>
            <w:pPr>
              <w:pStyle w:val="TableContents"/>
              <w:bidi w:val="0"/>
              <w:spacing w:before="0" w:after="283"/>
              <w:jc w:val="left"/>
              <w:rPr/>
            </w:pPr>
            <w:r>
              <w:rPr/>
              <w:t> </w:t>
            </w:r>
          </w:p>
        </w:tc>
      </w:tr>
      <w:tr>
        <w:trPr/>
        <w:tc>
          <w:tcPr>
            <w:tcW w:w="6118"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Research and development expenses increased from $19.3 million for the year ended December 31, 2024 to $50.4 million for the year ended December 31, 2025. The $31.1 million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$19.3 million increase in expenses related to our ipsoprubart program, primarily driven by higher clinical research organization (CRO) costs, contract manufacturing organization (CMO) costs, personnel-related expenses and consulting fees associated with the advancement of ipsoprubart into its Phase 2/3 clinical trial, including site initiation and patient enrollment activities that began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$8.2 million increase in expenses related to our other development programs, primarily due to higher CMO costs, material costs, and consulting fees incurred in programs unrelated to ipsoprubart;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$3.2 million increase in personnel-related expenses, primarily attributable to increased headcount to support the advancement of our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research and development expenses, primarily driven by higher rent expense and costs associated with increased headcount.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General and Administrative Expenses </w:t>
      </w:r>
    </w:p>
    <w:p>
      <w:pPr>
        <w:pStyle w:val="TextBody"/>
        <w:bidi w:val="0"/>
        <w:spacing w:before="40" w:after="0"/>
        <w:jc w:val="left"/>
        <w:rPr>
          <w:rFonts w:ascii="Arial" w:hAnsi="Arial"/>
          <w:sz w:val="19"/>
        </w:rPr>
      </w:pPr>
      <w:r>
        <w:rPr>
          <w:rFonts w:ascii="Arial" w:hAnsi="Arial"/>
          <w:sz w:val="19"/>
        </w:rPr>
        <w:t xml:space="preserve">The following table summarizes our general and administrative expenses for the periods indicated (in thousands, except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38"/>
        <w:gridCol w:w="223"/>
        <w:gridCol w:w="143"/>
        <w:gridCol w:w="636"/>
        <w:gridCol w:w="61"/>
        <w:gridCol w:w="225"/>
        <w:gridCol w:w="143"/>
        <w:gridCol w:w="799"/>
        <w:gridCol w:w="60"/>
        <w:gridCol w:w="223"/>
        <w:gridCol w:w="140"/>
        <w:gridCol w:w="626"/>
        <w:gridCol w:w="60"/>
        <w:gridCol w:w="223"/>
        <w:gridCol w:w="60"/>
        <w:gridCol w:w="264"/>
        <w:gridCol w:w="281"/>
      </w:tblGrid>
      <w:tr>
        <w:trPr/>
        <w:tc>
          <w:tcPr>
            <w:tcW w:w="603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0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00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73"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281" w:type="dxa"/>
            <w:tcBorders/>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7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6038"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2,834</w:t>
            </w:r>
          </w:p>
        </w:tc>
        <w:tc>
          <w:tcPr>
            <w:tcW w:w="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99" w:type="dxa"/>
            <w:tcBorders/>
            <w:shd w:fill="CCEEFF" w:val="clear"/>
            <w:vAlign w:val="bottom"/>
          </w:tcPr>
          <w:p>
            <w:pPr>
              <w:pStyle w:val="TableContents"/>
              <w:bidi w:val="0"/>
              <w:spacing w:before="0" w:after="283"/>
              <w:jc w:val="right"/>
              <w:rPr/>
            </w:pPr>
            <w:r>
              <w:rPr/>
              <w:t>3,370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536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right"/>
              <w:rPr/>
            </w:pPr>
            <w:r>
              <w:rPr/>
              <w:t>19</w:t>
            </w:r>
          </w:p>
        </w:tc>
        <w:tc>
          <w:tcPr>
            <w:tcW w:w="281" w:type="dxa"/>
            <w:tcBorders/>
            <w:shd w:fill="CCEEFF" w:val="clear"/>
            <w:vAlign w:val="bottom"/>
          </w:tcPr>
          <w:p>
            <w:pPr>
              <w:pStyle w:val="TableContents"/>
              <w:bidi w:val="0"/>
              <w:spacing w:before="0" w:after="283"/>
              <w:jc w:val="left"/>
              <w:rPr/>
            </w:pPr>
            <w:r>
              <w:rPr/>
              <w:t>% </w:t>
            </w:r>
          </w:p>
        </w:tc>
      </w:tr>
      <w:tr>
        <w:trPr/>
        <w:tc>
          <w:tcPr>
            <w:tcW w:w="6038"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3,628</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7,178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3,550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98</w:t>
            </w:r>
          </w:p>
        </w:tc>
        <w:tc>
          <w:tcPr>
            <w:tcW w:w="281" w:type="dxa"/>
            <w:tcBorders/>
            <w:vAlign w:val="bottom"/>
          </w:tcPr>
          <w:p>
            <w:pPr>
              <w:pStyle w:val="TableContents"/>
              <w:bidi w:val="0"/>
              <w:spacing w:before="0" w:after="283"/>
              <w:jc w:val="left"/>
              <w:rPr/>
            </w:pPr>
            <w:r>
              <w:rPr/>
              <w:t>% </w:t>
            </w:r>
          </w:p>
        </w:tc>
      </w:tr>
      <w:tr>
        <w:trPr/>
        <w:tc>
          <w:tcPr>
            <w:tcW w:w="6038"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2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588</w:t>
            </w:r>
          </w:p>
        </w:tc>
        <w:tc>
          <w:tcPr>
            <w:tcW w:w="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954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366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right"/>
              <w:rPr/>
            </w:pPr>
            <w:r>
              <w:rPr/>
              <w:t>62</w:t>
            </w:r>
          </w:p>
        </w:tc>
        <w:tc>
          <w:tcPr>
            <w:tcW w:w="281" w:type="dxa"/>
            <w:tcBorders/>
            <w:shd w:fill="CCEEFF" w:val="clear"/>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6038"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7,050</w:t>
            </w:r>
          </w:p>
        </w:tc>
        <w:tc>
          <w:tcPr>
            <w:tcW w:w="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799" w:type="dxa"/>
            <w:tcBorders/>
            <w:vAlign w:val="bottom"/>
          </w:tcPr>
          <w:p>
            <w:pPr>
              <w:pStyle w:val="TableContents"/>
              <w:bidi w:val="0"/>
              <w:spacing w:before="0" w:after="283"/>
              <w:jc w:val="right"/>
              <w:rPr/>
            </w:pPr>
            <w:r>
              <w:rPr/>
              <w:t>11,502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6" w:type="dxa"/>
            <w:tcBorders/>
            <w:vAlign w:val="bottom"/>
          </w:tcPr>
          <w:p>
            <w:pPr>
              <w:pStyle w:val="TableContents"/>
              <w:bidi w:val="0"/>
              <w:spacing w:before="0" w:after="283"/>
              <w:jc w:val="right"/>
              <w:rPr/>
            </w:pPr>
            <w:r>
              <w:rPr/>
              <w:t>4,452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281" w:type="dxa"/>
            <w:tcBorders/>
            <w:vAlign w:val="bottom"/>
          </w:tcPr>
          <w:p>
            <w:pPr>
              <w:pStyle w:val="TableContents"/>
              <w:bidi w:val="0"/>
              <w:spacing w:before="0" w:after="283"/>
              <w:jc w:val="left"/>
              <w:rPr/>
            </w:pPr>
            <w:r>
              <w:rPr/>
              <w:t>% </w:t>
            </w:r>
          </w:p>
        </w:tc>
      </w:tr>
      <w:tr>
        <w:trPr/>
        <w:tc>
          <w:tcPr>
            <w:tcW w:w="603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General and administrative expenses increased from $7.1 million for the year ended December 31, 2024 to $11.5 million for the year ended December 31, 2025. The $4.5 million increase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$3.6 million increase in fees for third-party service providers, primarily due to higher legal and accounting expenses incurred in relation to financing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$0.5 million increase in personnel-related expenses, primarily driven by increased general and administrative headcount to support our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$0.4 million increase in other general and administrative expenses, primarily driven by higher rent expense and costs associated with increased headcount. </w:t>
            </w:r>
          </w:p>
        </w:tc>
      </w:tr>
    </w:tbl>
    <w:p>
      <w:pPr>
        <w:pStyle w:val="TextBody"/>
        <w:bidi w:val="0"/>
        <w:spacing w:before="80" w:after="0"/>
        <w:jc w:val="left"/>
        <w:rPr>
          <w:rFonts w:ascii="Arial" w:hAnsi="Arial"/>
          <w:b/>
          <w:i/>
          <w:sz w:val="19"/>
        </w:rPr>
      </w:pPr>
      <w:r>
        <w:rPr>
          <w:rFonts w:ascii="Arial" w:hAnsi="Arial"/>
          <w:b/>
          <w:i/>
          <w:sz w:val="19"/>
        </w:rPr>
        <w:t xml:space="preserve">Other Income (Expense), Net </w:t>
      </w:r>
    </w:p>
    <w:p>
      <w:pPr>
        <w:pStyle w:val="TextBody"/>
        <w:bidi w:val="0"/>
        <w:spacing w:before="120" w:after="0"/>
        <w:jc w:val="left"/>
        <w:rPr>
          <w:rFonts w:ascii="Arial" w:hAnsi="Arial"/>
          <w:i/>
          <w:sz w:val="19"/>
        </w:rPr>
      </w:pPr>
      <w:r>
        <w:rPr>
          <w:rFonts w:ascii="Arial" w:hAnsi="Arial"/>
          <w:i/>
          <w:sz w:val="19"/>
        </w:rPr>
        <w:t xml:space="preserve">Interest Income </w:t>
      </w:r>
    </w:p>
    <w:p>
      <w:pPr>
        <w:pStyle w:val="TextBody"/>
        <w:bidi w:val="0"/>
        <w:spacing w:before="80" w:after="0"/>
        <w:jc w:val="left"/>
        <w:rPr>
          <w:rFonts w:ascii="Arial" w:hAnsi="Arial"/>
          <w:sz w:val="19"/>
        </w:rPr>
      </w:pPr>
      <w:r>
        <w:rPr>
          <w:rFonts w:ascii="Arial" w:hAnsi="Arial"/>
          <w:sz w:val="19"/>
        </w:rPr>
        <w:t xml:space="preserve">Interest income decreased from $1.5 million for the year ended December 31, 2024 to $1.3 million for the year ended December 31, 2025. The $0.2 million, or 11%, decrease was primarily due to lower interest rates. </w:t>
      </w:r>
    </w:p>
    <w:p>
      <w:pPr>
        <w:pStyle w:val="TextBody"/>
        <w:bidi w:val="0"/>
        <w:spacing w:before="80" w:after="0"/>
        <w:jc w:val="left"/>
        <w:rPr>
          <w:rFonts w:ascii="Arial" w:hAnsi="Arial"/>
          <w:i/>
          <w:sz w:val="19"/>
        </w:rPr>
      </w:pPr>
      <w:r>
        <w:rPr>
          <w:rFonts w:ascii="Arial" w:hAnsi="Arial"/>
          <w:i/>
          <w:sz w:val="19"/>
        </w:rPr>
        <w:t xml:space="preserve">Interest Expense </w:t>
      </w:r>
    </w:p>
    <w:p>
      <w:pPr>
        <w:pStyle w:val="TextBody"/>
        <w:bidi w:val="0"/>
        <w:spacing w:before="40" w:after="0"/>
        <w:jc w:val="left"/>
        <w:rPr>
          <w:rFonts w:ascii="Arial" w:hAnsi="Arial"/>
          <w:sz w:val="19"/>
        </w:rPr>
      </w:pPr>
      <w:r>
        <w:rPr>
          <w:rFonts w:ascii="Arial" w:hAnsi="Arial"/>
          <w:sz w:val="19"/>
        </w:rPr>
        <w:t xml:space="preserve">Interest expense was $1.4 million for the year ended December 31, 2025 and related to the difference between the proceeds received from convertible promissory notes issued in March and June 2025 and the fair value of the notes, which was due to accrued interest on the notes as of the conversion date. There was no interest expense during the year ended December 31, 2024 as our convertible promissory notes were issued after that fiscal year. </w:t>
      </w:r>
    </w:p>
    <w:p>
      <w:pPr>
        <w:pStyle w:val="TextBody"/>
        <w:bidi w:val="0"/>
        <w:spacing w:before="80" w:after="0"/>
        <w:jc w:val="left"/>
        <w:rPr>
          <w:rFonts w:ascii="Arial" w:hAnsi="Arial"/>
          <w:i/>
          <w:sz w:val="19"/>
        </w:rPr>
      </w:pPr>
      <w:r>
        <w:rPr>
          <w:rFonts w:ascii="Arial" w:hAnsi="Arial"/>
          <w:i/>
          <w:sz w:val="19"/>
        </w:rPr>
        <w:t xml:space="preserve">Other Income (Expense) </w:t>
      </w:r>
    </w:p>
    <w:p>
      <w:pPr>
        <w:pStyle w:val="TextBody"/>
        <w:bidi w:val="0"/>
        <w:spacing w:before="40" w:after="0"/>
        <w:jc w:val="left"/>
        <w:rPr>
          <w:rFonts w:ascii="Arial" w:hAnsi="Arial"/>
          <w:sz w:val="19"/>
        </w:rPr>
      </w:pPr>
      <w:r>
        <w:rPr>
          <w:rFonts w:ascii="Arial" w:hAnsi="Arial"/>
          <w:sz w:val="19"/>
        </w:rPr>
        <w:t xml:space="preserve">Other expense, net was less than $0.1 million for each of the years ended December 31, 2024 and 2025 and related primarily to foreign currency gains and losses. </w:t>
      </w:r>
    </w:p>
    <w:p>
      <w:pPr>
        <w:pStyle w:val="TextBody"/>
        <w:bidi w:val="0"/>
        <w:spacing w:before="240" w:after="0"/>
        <w:jc w:val="left"/>
        <w:rPr>
          <w:rFonts w:ascii="Arial" w:hAnsi="Arial"/>
          <w:b/>
          <w:sz w:val="20"/>
        </w:rPr>
      </w:pPr>
      <w:r>
        <w:rPr>
          <w:rFonts w:ascii="Arial" w:hAnsi="Arial"/>
          <w:b/>
          <w:sz w:val="20"/>
        </w:rPr>
        <w:t xml:space="preserve">Liquidity and Capital Resources </w:t>
      </w:r>
    </w:p>
    <w:p>
      <w:pPr>
        <w:pStyle w:val="TextBody"/>
        <w:bidi w:val="0"/>
        <w:spacing w:before="80" w:after="0"/>
        <w:jc w:val="left"/>
        <w:rPr>
          <w:rFonts w:ascii="Arial" w:hAnsi="Arial"/>
          <w:i/>
          <w:sz w:val="19"/>
        </w:rPr>
      </w:pPr>
      <w:r>
        <w:rPr>
          <w:rFonts w:ascii="Arial" w:hAnsi="Arial"/>
          <w:i/>
          <w:sz w:val="19"/>
        </w:rPr>
        <w:t xml:space="preserve">Sources of Liquidity </w:t>
      </w:r>
    </w:p>
    <w:p>
      <w:pPr>
        <w:pStyle w:val="TextBody"/>
        <w:bidi w:val="0"/>
        <w:spacing w:before="40" w:after="0"/>
        <w:jc w:val="left"/>
        <w:rPr>
          <w:rFonts w:ascii="Arial" w:hAnsi="Arial"/>
          <w:sz w:val="19"/>
        </w:rPr>
      </w:pPr>
      <w:r>
        <w:rPr>
          <w:rFonts w:ascii="Arial" w:hAnsi="Arial"/>
          <w:sz w:val="19"/>
        </w:rPr>
        <w:t xml:space="preserve">Since our inception, we have incurred significant net losses and negative cash flows in each period and on an aggregate basis. We have incurred significant net operating losses from operations since inception and had an accumulated deficit of $173.0 million as of December 31, 2025. Additionally, we anticipate that our operating losses and negative operating cash flows will increase for the foreseeable future as we continue to expand our research and development programs. </w:t>
      </w:r>
    </w:p>
    <w:p>
      <w:pPr>
        <w:pStyle w:val="TextBody"/>
        <w:bidi w:val="0"/>
        <w:spacing w:before="180" w:after="0"/>
        <w:jc w:val="left"/>
        <w:rPr>
          <w:rFonts w:ascii="Arial" w:hAnsi="Arial"/>
          <w:sz w:val="19"/>
        </w:rPr>
      </w:pPr>
      <w:r>
        <w:rPr>
          <w:rFonts w:ascii="Arial" w:hAnsi="Arial"/>
          <w:sz w:val="19"/>
        </w:rPr>
        <w:t xml:space="preserve">Since our inception, we have devoted substantially all of our resources to organizing and staffing our company, business planning, identifying product candidates, establishing our intellectual property portfolio, conducting research and nonclinical studies, including IND-enabling studies, initiating and conducting clinical trials, establishing arrangements with third parties for the manufacture of our product candidates, and providing general and administrative support for these operations.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date, we have financed our operations primarily through the issuance and sale of shares of our redeemable convertible preferred stock and issuance of convertible promissory notes. As of December 31, 2025, issuances and sales of our redeemable convertible preferred stock have resulted in aggregate gross proceeds of $251.4 million. </w:t>
      </w:r>
    </w:p>
    <w:p>
      <w:pPr>
        <w:pStyle w:val="TextBody"/>
        <w:bidi w:val="0"/>
        <w:spacing w:before="180" w:after="0"/>
        <w:jc w:val="left"/>
        <w:rPr>
          <w:rFonts w:ascii="Arial" w:hAnsi="Arial"/>
          <w:sz w:val="19"/>
        </w:rPr>
      </w:pPr>
      <w:r>
        <w:rPr>
          <w:rFonts w:ascii="Arial" w:hAnsi="Arial"/>
          <w:sz w:val="19"/>
        </w:rPr>
        <w:t xml:space="preserve">On March 7, 2025, we issued convertible promissory notes with an aggregate principal amount of $20.0 million to multiple investors. </w:t>
      </w:r>
    </w:p>
    <w:p>
      <w:pPr>
        <w:pStyle w:val="TextBody"/>
        <w:bidi w:val="0"/>
        <w:spacing w:before="180" w:after="0"/>
        <w:jc w:val="left"/>
        <w:rPr>
          <w:rFonts w:ascii="Arial" w:hAnsi="Arial"/>
          <w:sz w:val="19"/>
        </w:rPr>
      </w:pPr>
      <w:r>
        <w:rPr>
          <w:rFonts w:ascii="Arial" w:hAnsi="Arial"/>
          <w:sz w:val="19"/>
        </w:rPr>
        <w:t xml:space="preserve">On June 30, 2025, we issued additional convertible promissory notes with an aggregate principal amount of $20.0 million. </w:t>
      </w:r>
    </w:p>
    <w:p>
      <w:pPr>
        <w:pStyle w:val="TextBody"/>
        <w:bidi w:val="0"/>
        <w:spacing w:before="180" w:after="0"/>
        <w:jc w:val="left"/>
        <w:rPr>
          <w:rFonts w:ascii="Arial" w:hAnsi="Arial"/>
          <w:sz w:val="19"/>
        </w:rPr>
      </w:pPr>
      <w:r>
        <w:rPr>
          <w:rFonts w:ascii="Arial" w:hAnsi="Arial"/>
          <w:sz w:val="19"/>
        </w:rPr>
        <w:t xml:space="preserve">On October 15, 2025, we issued 13,703,310 shares of our Series C redeemable convertible preferred stock at a purchase price of $6.7688 per share, resulting in gross proceeds of $92.8 million. Concurrently, the outstanding principal of all our convertible promissory notes and all accrued and unpaid interest thereon, totaling $41.4 million, automatically converted into 6,121,225 shares of our Series C redeemable convertible preferred stock at a conversion price of $6.7688 per share. The aggregate gross proceeds from the total of 19,824,535 shares either newly issued or converted from convertible promissory notes in this first closing was $132.8 million. </w:t>
      </w:r>
    </w:p>
    <w:p>
      <w:pPr>
        <w:pStyle w:val="TextBody"/>
        <w:bidi w:val="0"/>
        <w:spacing w:before="180" w:after="0"/>
        <w:jc w:val="left"/>
        <w:rPr>
          <w:rFonts w:ascii="Arial" w:hAnsi="Arial"/>
          <w:sz w:val="19"/>
        </w:rPr>
      </w:pPr>
      <w:r>
        <w:rPr>
          <w:rFonts w:ascii="Arial" w:hAnsi="Arial"/>
          <w:sz w:val="19"/>
        </w:rPr>
        <w:t xml:space="preserve">On June 18, 2026, we completed the second closing of our Series C redeemable convertible preferred stock financing and issued 7,378,708 shares of our Series C redeemable convertible preferred stock at a purchase price of $6.7688 per share, resulting in gross proceeds of $49.9 million. </w:t>
      </w:r>
    </w:p>
    <w:p>
      <w:pPr>
        <w:pStyle w:val="TextBody"/>
        <w:bidi w:val="0"/>
        <w:spacing w:before="80" w:after="0"/>
        <w:jc w:val="left"/>
        <w:rPr>
          <w:rFonts w:ascii="Arial" w:hAnsi="Arial"/>
          <w:i/>
          <w:sz w:val="19"/>
        </w:rPr>
      </w:pPr>
      <w:r>
        <w:rPr>
          <w:rFonts w:ascii="Arial" w:hAnsi="Arial"/>
          <w:i/>
          <w:sz w:val="19"/>
        </w:rPr>
        <w:t xml:space="preserve">Funding Requirements </w:t>
      </w:r>
    </w:p>
    <w:p>
      <w:pPr>
        <w:pStyle w:val="TextBody"/>
        <w:bidi w:val="0"/>
        <w:spacing w:before="40" w:after="0"/>
        <w:jc w:val="left"/>
        <w:rPr>
          <w:rFonts w:ascii="Arial" w:hAnsi="Arial"/>
          <w:sz w:val="19"/>
        </w:rPr>
      </w:pPr>
      <w:r>
        <w:rPr>
          <w:rFonts w:ascii="Arial" w:hAnsi="Arial"/>
          <w:sz w:val="19"/>
        </w:rPr>
        <w:t xml:space="preserve">As of December 31, 2025, we had total cash, cash equivalents and marketable securities of $86.5 million. In addition, on June 18, 2026, we completed the second closing of our Series C redeemable convertible preferred stock financing and issued 7,378,708 shares of our Series C redeemable convertible preferred stock at a purchase price of $6.7688 per share, resulting in gross proceeds of $49.9 million. Based on our current operating plan, we estimate that our existing cash, cash equivalents and marketable securities as of the date of this prospectus, together with the estimated net proceeds from this offering, will be sufficient to fund our projected operating expenses and capital expenditures through    . However, this estimate is a forward-looking statement that involves risks and uncertainties, and actual results could vary materially. We have based this estimate on assumptions that may prove to be wrong, and we could deplete our capital resources sooner than we expect. </w:t>
      </w:r>
    </w:p>
    <w:p>
      <w:pPr>
        <w:pStyle w:val="TextBody"/>
        <w:bidi w:val="0"/>
        <w:spacing w:before="180" w:after="0"/>
        <w:jc w:val="left"/>
        <w:rPr>
          <w:rFonts w:ascii="Arial" w:hAnsi="Arial"/>
          <w:sz w:val="19"/>
        </w:rPr>
      </w:pPr>
      <w:r>
        <w:rPr>
          <w:rFonts w:ascii="Arial" w:hAnsi="Arial"/>
          <w:sz w:val="19"/>
        </w:rPr>
        <w:t xml:space="preserve">We have incurred recurring losses and negative cash flows from operations and expect to continue to incur losses for the foreseeable future. Without giving effect to the anticipated net proceeds from this offering, we estimate that our existing cash, cash equivalents and marketable securities as of December 31, 2025 and the proceeds from the issuance of the second tranche of the Series C convertible preferred stock in June 2026 will not be sufficient to fund our operations for the next 12 months and, therefore, have concluded that circumstances exist that raise substantial doubt about our ability to continue as a going concern. </w:t>
      </w:r>
    </w:p>
    <w:p>
      <w:pPr>
        <w:pStyle w:val="TextBody"/>
        <w:bidi w:val="0"/>
        <w:spacing w:before="180" w:after="0"/>
        <w:jc w:val="left"/>
        <w:rPr>
          <w:rFonts w:ascii="Arial" w:hAnsi="Arial"/>
          <w:sz w:val="19"/>
        </w:rPr>
      </w:pPr>
      <w:r>
        <w:rPr>
          <w:rFonts w:ascii="Arial" w:hAnsi="Arial"/>
          <w:sz w:val="19"/>
        </w:rPr>
        <w:t xml:space="preserve">Our principal uses of cash in recent periods have been funding our research and development activities, including personnel-related costs, and general and administrative expenses. 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scope, progress, results and costs of researching, developing and manufacturing our product candidates or any future product candidates, and conducting nonclinical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number and characteristics of any additional product candidates we develop or acquire;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timing of, and the costs involved in, obtaining regulatory approvals or clearances for our product candidates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expenses needed to attract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cost of any future product candidates and any products we successfully commercialize;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timing, receipt and amount of sales of any future approved or cleared products,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ability to establish and maintain strategic collaborations, licensing or other arrangements and the financial terms of any such agreements that we may enter into, including the timing and amount of any future milestone, royalty or other payments due under any such agreement.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may not be able to raise additional funds or enter into such other arrangements when needed or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future collaboration or licensing arrangements with third parties or other strategic transactions, we may have to relinquish rights to our intellectual property, future revenue streams, research programs or product candidates, or grant licenses on terms that may not be favorable to us and/or may reduce the value of our common stock. If we are unable to obtain adequate funding as and when needed, or on attractive terms, we could be required to significantly delay, reduce, or eliminate some or all of our research and development activities, product portfolio expansion or commercialization efforts, out-license intellectual property rights to our product candidates, sell unsecured assets, or scale back or terminate our pursuit of new strategic arrangements and transactions, or a combination of the above, any of which may have a material adverse effect on our business, results of operations, and financial condition. </w:t>
      </w:r>
    </w:p>
    <w:p>
      <w:pPr>
        <w:pStyle w:val="TextBody"/>
        <w:bidi w:val="0"/>
        <w:spacing w:before="80" w:after="0"/>
        <w:jc w:val="left"/>
        <w:rPr>
          <w:rFonts w:ascii="Arial" w:hAnsi="Arial"/>
          <w:b/>
          <w:sz w:val="19"/>
        </w:rPr>
      </w:pPr>
      <w:r>
        <w:rPr>
          <w:rFonts w:ascii="Arial" w:hAnsi="Arial"/>
          <w:b/>
          <w:sz w:val="19"/>
        </w:rPr>
        <w:t xml:space="preserve">Cash Flow Summary </w:t>
      </w:r>
    </w:p>
    <w:p>
      <w:pPr>
        <w:pStyle w:val="TextBody"/>
        <w:bidi w:val="0"/>
        <w:spacing w:before="40" w:after="0"/>
        <w:jc w:val="left"/>
        <w:rPr>
          <w:rFonts w:ascii="Arial" w:hAnsi="Arial"/>
          <w:sz w:val="19"/>
        </w:rPr>
      </w:pPr>
      <w:r>
        <w:rPr>
          <w:rFonts w:ascii="Arial" w:hAnsi="Arial"/>
          <w:sz w:val="19"/>
        </w:rPr>
        <w:t xml:space="preserve">The following table summarizes our cash flows for the periods presented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1"/>
        <w:gridCol w:w="226"/>
        <w:gridCol w:w="140"/>
        <w:gridCol w:w="774"/>
        <w:gridCol w:w="155"/>
        <w:gridCol w:w="189"/>
        <w:gridCol w:w="140"/>
        <w:gridCol w:w="802"/>
        <w:gridCol w:w="155"/>
        <w:gridCol w:w="189"/>
        <w:gridCol w:w="161"/>
        <w:gridCol w:w="955"/>
        <w:gridCol w:w="158"/>
      </w:tblGrid>
      <w:tr>
        <w:trPr/>
        <w:tc>
          <w:tcPr>
            <w:tcW w:w="6161"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6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20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1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1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CHANGE</w:t>
            </w:r>
          </w:p>
        </w:tc>
        <w:tc>
          <w:tcPr>
            <w:tcW w:w="158" w:type="dxa"/>
            <w:tcBorders/>
            <w:vAlign w:val="bottom"/>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Net cash provided by (used in):</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5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61" w:type="dxa"/>
            <w:tcBorders/>
          </w:tcPr>
          <w:p>
            <w:pPr>
              <w:pStyle w:val="TableContents"/>
              <w:bidi w:val="0"/>
              <w:spacing w:before="0" w:after="0"/>
              <w:jc w:val="left"/>
              <w:rPr>
                <w:rFonts w:ascii="Arial" w:hAnsi="Arial"/>
                <w:sz w:val="19"/>
              </w:rPr>
            </w:pPr>
            <w:r>
              <w:rPr>
                <w:rFonts w:ascii="Arial" w:hAnsi="Arial"/>
                <w:sz w:val="19"/>
              </w:rPr>
              <w:t>Operating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(26,003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(60,484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55" w:type="dxa"/>
            <w:tcBorders/>
            <w:vAlign w:val="bottom"/>
          </w:tcPr>
          <w:p>
            <w:pPr>
              <w:pStyle w:val="TableContents"/>
              <w:bidi w:val="0"/>
              <w:spacing w:before="0" w:after="283"/>
              <w:jc w:val="right"/>
              <w:rPr/>
            </w:pPr>
            <w:r>
              <w:rPr/>
              <w:t>(34,481</w:t>
            </w:r>
          </w:p>
        </w:tc>
        <w:tc>
          <w:tcPr>
            <w:tcW w:w="158" w:type="dxa"/>
            <w:tcBorders/>
            <w:vAlign w:val="bottom"/>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Investing activities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29,701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(52,978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(82,679</w:t>
            </w:r>
          </w:p>
        </w:tc>
        <w:tc>
          <w:tcPr>
            <w:tcW w:w="158" w:type="dxa"/>
            <w:tcBorders/>
            <w:shd w:fill="CCEEFF" w:val="clear"/>
            <w:vAlign w:val="bottom"/>
          </w:tcPr>
          <w:p>
            <w:pPr>
              <w:pStyle w:val="TableContents"/>
              <w:bidi w:val="0"/>
              <w:spacing w:before="0" w:after="283"/>
              <w:jc w:val="left"/>
              <w:rPr/>
            </w:pPr>
            <w:r>
              <w:rPr/>
              <w:t>) </w:t>
            </w:r>
          </w:p>
        </w:tc>
      </w:tr>
      <w:tr>
        <w:trPr/>
        <w:tc>
          <w:tcPr>
            <w:tcW w:w="6161" w:type="dxa"/>
            <w:tcBorders/>
          </w:tcPr>
          <w:p>
            <w:pPr>
              <w:pStyle w:val="TableContents"/>
              <w:bidi w:val="0"/>
              <w:spacing w:before="0" w:after="0"/>
              <w:jc w:val="left"/>
              <w:rPr>
                <w:rFonts w:ascii="Arial" w:hAnsi="Arial"/>
                <w:sz w:val="19"/>
              </w:rPr>
            </w:pPr>
            <w:r>
              <w:rPr>
                <w:rFonts w:ascii="Arial" w:hAnsi="Arial"/>
                <w:sz w:val="19"/>
              </w:rPr>
              <w:t>Financing activities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131,683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131,683</w:t>
            </w:r>
          </w:p>
        </w:tc>
        <w:tc>
          <w:tcPr>
            <w:tcW w:w="158" w:type="dxa"/>
            <w:tcBorders/>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61" w:type="dxa"/>
            <w:tcBorders/>
            <w:shd w:fill="CCEEFF" w:val="clear"/>
          </w:tcPr>
          <w:p>
            <w:pPr>
              <w:pStyle w:val="TableContents"/>
              <w:bidi w:val="0"/>
              <w:spacing w:before="0" w:after="0"/>
              <w:jc w:val="left"/>
              <w:rPr>
                <w:rFonts w:ascii="Arial" w:hAnsi="Arial"/>
                <w:sz w:val="19"/>
              </w:rPr>
            </w:pPr>
            <w:r>
              <w:rPr>
                <w:rFonts w:ascii="Arial" w:hAnsi="Arial"/>
                <w:sz w:val="19"/>
              </w:rPr>
              <w:t>Net increase in 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3,698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18,221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14,523</w:t>
            </w:r>
          </w:p>
        </w:tc>
        <w:tc>
          <w:tcPr>
            <w:tcW w:w="158" w:type="dxa"/>
            <w:tcBorders/>
            <w:shd w:fill="CCEEFF" w:val="clear"/>
            <w:vAlign w:val="bottom"/>
          </w:tcPr>
          <w:p>
            <w:pPr>
              <w:pStyle w:val="TableContents"/>
              <w:bidi w:val="0"/>
              <w:spacing w:before="0" w:after="283"/>
              <w:jc w:val="left"/>
              <w:rPr/>
            </w:pPr>
            <w:r>
              <w:rPr/>
              <w:t> </w:t>
            </w:r>
          </w:p>
        </w:tc>
      </w:tr>
      <w:tr>
        <w:trPr/>
        <w:tc>
          <w:tcPr>
            <w:tcW w:w="6161"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i/>
          <w:sz w:val="19"/>
        </w:rPr>
      </w:pPr>
      <w:r>
        <w:rPr>
          <w:rFonts w:ascii="Arial" w:hAnsi="Arial"/>
          <w:b/>
          <w:i/>
          <w:sz w:val="19"/>
        </w:rPr>
        <w:t xml:space="preserve">Operating Activities </w:t>
      </w:r>
    </w:p>
    <w:p>
      <w:pPr>
        <w:pStyle w:val="TextBody"/>
        <w:bidi w:val="0"/>
        <w:spacing w:before="40" w:after="0"/>
        <w:jc w:val="left"/>
        <w:rPr>
          <w:rFonts w:ascii="Arial" w:hAnsi="Arial"/>
          <w:sz w:val="19"/>
        </w:rPr>
      </w:pPr>
      <w:r>
        <w:rPr>
          <w:rFonts w:ascii="Arial" w:hAnsi="Arial"/>
          <w:sz w:val="19"/>
        </w:rPr>
        <w:t xml:space="preserve">Net cash used in operating activities for the year ended December 31, 2024 of $26.0 million was primarily due to our net loss of $24.8 million, $2.8 million net change in operating assets and liabilities, and $0.7 million of net amortization of premiums and discounts of marketable securities, partially offset by $2.3 million non-cash stock-based compensation expense. </w:t>
      </w:r>
    </w:p>
    <w:p>
      <w:pPr>
        <w:pStyle w:val="TextBody"/>
        <w:bidi w:val="0"/>
        <w:spacing w:before="180" w:after="0"/>
        <w:jc w:val="left"/>
        <w:rPr>
          <w:rFonts w:ascii="Arial" w:hAnsi="Arial"/>
          <w:sz w:val="19"/>
        </w:rPr>
      </w:pPr>
      <w:r>
        <w:rPr>
          <w:rFonts w:ascii="Arial" w:hAnsi="Arial"/>
          <w:sz w:val="19"/>
        </w:rPr>
        <w:t xml:space="preserve">Net cash used in operating activities for the year ended December 31, 2025 of $60.5 million was primarily due to our net loss of $62.0 million and $1.7 million of net change in operating assets and liabilities, adjusted for $1.8 million non-cash stock-based compensation expense and $1.4 million non-cash interest expense related to convertible promissory notes. </w:t>
      </w:r>
    </w:p>
    <w:p>
      <w:pPr>
        <w:pStyle w:val="TextBody"/>
        <w:bidi w:val="0"/>
        <w:spacing w:before="80" w:after="0"/>
        <w:jc w:val="left"/>
        <w:rPr>
          <w:rFonts w:ascii="Arial" w:hAnsi="Arial"/>
          <w:b/>
          <w:i/>
          <w:sz w:val="19"/>
        </w:rPr>
      </w:pPr>
      <w:r>
        <w:rPr>
          <w:rFonts w:ascii="Arial" w:hAnsi="Arial"/>
          <w:b/>
          <w:i/>
          <w:sz w:val="19"/>
        </w:rPr>
        <w:t xml:space="preserve">Investing Activities </w:t>
      </w:r>
    </w:p>
    <w:p>
      <w:pPr>
        <w:pStyle w:val="TextBody"/>
        <w:bidi w:val="0"/>
        <w:spacing w:before="40" w:after="0"/>
        <w:jc w:val="left"/>
        <w:rPr>
          <w:rFonts w:ascii="Arial" w:hAnsi="Arial"/>
          <w:sz w:val="19"/>
        </w:rPr>
      </w:pPr>
      <w:r>
        <w:rPr>
          <w:rFonts w:ascii="Arial" w:hAnsi="Arial"/>
          <w:sz w:val="19"/>
        </w:rPr>
        <w:t xml:space="preserve">Net cash provided by investing activities was $29.7 million for the year ended December 31, 2024, which consisted primarily of $34.5 million of proceeds from the maturity of marketable securities, partially offset by $4.8 million in purchases of marketable securities. </w:t>
      </w:r>
    </w:p>
    <w:p>
      <w:pPr>
        <w:pStyle w:val="TextBody"/>
        <w:bidi w:val="0"/>
        <w:spacing w:before="180" w:after="0"/>
        <w:jc w:val="left"/>
        <w:rPr>
          <w:rFonts w:ascii="Arial" w:hAnsi="Arial"/>
          <w:sz w:val="19"/>
        </w:rPr>
      </w:pPr>
      <w:r>
        <w:rPr>
          <w:rFonts w:ascii="Arial" w:hAnsi="Arial"/>
          <w:sz w:val="19"/>
        </w:rPr>
        <w:t xml:space="preserve">Net cash used in investing activities was $53.0 million for the year ended December 31, 2025, which consisted primarily of the purchase of marketable securities. </w:t>
      </w:r>
    </w:p>
    <w:p>
      <w:pPr>
        <w:pStyle w:val="TextBody"/>
        <w:bidi w:val="0"/>
        <w:spacing w:before="80" w:after="0"/>
        <w:jc w:val="left"/>
        <w:rPr>
          <w:rFonts w:ascii="Arial" w:hAnsi="Arial"/>
          <w:b/>
          <w:i/>
          <w:sz w:val="19"/>
        </w:rPr>
      </w:pPr>
      <w:r>
        <w:rPr>
          <w:rFonts w:ascii="Arial" w:hAnsi="Arial"/>
          <w:b/>
          <w:i/>
          <w:sz w:val="19"/>
        </w:rPr>
        <w:t xml:space="preserve">Financing Activities </w:t>
      </w:r>
    </w:p>
    <w:p>
      <w:pPr>
        <w:pStyle w:val="TextBody"/>
        <w:bidi w:val="0"/>
        <w:spacing w:before="40" w:after="0"/>
        <w:jc w:val="left"/>
        <w:rPr>
          <w:rFonts w:ascii="Arial" w:hAnsi="Arial"/>
          <w:sz w:val="19"/>
        </w:rPr>
      </w:pPr>
      <w:r>
        <w:rPr>
          <w:rFonts w:ascii="Arial" w:hAnsi="Arial"/>
          <w:sz w:val="19"/>
        </w:rPr>
        <w:t xml:space="preserve">Net cash provided by financing activities was $131.7 million for the year ended December 31, 2025, which consisted primarily of net proceeds from the issuance and sale of shares of our Series C redeemable convertible preferred stock and issuance of our convertible promissory notes, which were fully converted during the year ended December 31, 2025 into shares of our Series C redeemable convertible preferred stock as described in greater detail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There were no financing activities during the year ended December 31, 2024. </w:t>
      </w:r>
    </w:p>
    <w:p>
      <w:pPr>
        <w:pStyle w:val="TextBody"/>
        <w:bidi w:val="0"/>
        <w:spacing w:before="240" w:after="0"/>
        <w:jc w:val="left"/>
        <w:rPr>
          <w:rFonts w:ascii="Arial" w:hAnsi="Arial"/>
          <w:b/>
          <w:sz w:val="20"/>
        </w:rPr>
      </w:pPr>
      <w:r>
        <w:rPr>
          <w:rFonts w:ascii="Arial" w:hAnsi="Arial"/>
          <w:b/>
          <w:sz w:val="20"/>
        </w:rPr>
        <w:t xml:space="preserve">Contractual Obligations and Other Commitments </w:t>
      </w:r>
    </w:p>
    <w:p>
      <w:pPr>
        <w:pStyle w:val="TextBody"/>
        <w:bidi w:val="0"/>
        <w:spacing w:before="80" w:after="0"/>
        <w:jc w:val="left"/>
        <w:rPr>
          <w:rFonts w:ascii="Arial" w:hAnsi="Arial"/>
          <w:sz w:val="19"/>
        </w:rPr>
      </w:pPr>
      <w:r>
        <w:rPr>
          <w:rFonts w:ascii="Arial" w:hAnsi="Arial"/>
          <w:sz w:val="19"/>
        </w:rPr>
        <w:t xml:space="preserve">We enter into contracts in the normal course of business with various third parties for nonclinical studies, clinical trials, manufacturing services and other services. These contracts generally provide for termination upon limited notice, and therefore we believe that our noncancelable obligations under these agreements are not material. All contracts are terminable, with varying provisions regarding termination. If a contract with a specific vendor were to be terminated, we would only be obligated for the products or services that we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we entered into a noncancelable operating lease agreement for approximately 14,055 rentable square feet of office and laboratory space in South San Francisco, California. The lease has a three-year term expiring on September 30, 2028, and includes an initial rent abatement period. The lease provides us with two consecutive options to extend the lease term for three years each, at the then-prevailing fair rental value. We have not included these extension options in the lease term as it is not reasonably certain to exercise either option. The lease provides for escalating annualized base rent payments starting at $0.9 million and increasing to $1.0 million in the final year of the lease. Remaining lease payments from January 1, 2026 through the end of the lease term total $2.3 million. For additional details, see Note 7 to our financial statements included elsewhere in this prospectus. </w:t>
      </w:r>
    </w:p>
    <w:p>
      <w:pPr>
        <w:pStyle w:val="TextBody"/>
        <w:bidi w:val="0"/>
        <w:spacing w:before="180" w:after="0"/>
        <w:jc w:val="left"/>
        <w:rPr>
          <w:rFonts w:ascii="Arial" w:hAnsi="Arial"/>
          <w:sz w:val="19"/>
        </w:rPr>
      </w:pPr>
      <w:r>
        <w:rPr>
          <w:rFonts w:ascii="Arial" w:hAnsi="Arial"/>
          <w:sz w:val="19"/>
        </w:rPr>
        <w:t xml:space="preserve">We are also party to a mouse platform agreement with an unrelated third party. Under the agreement, we were granted non-exclusive licenses to use transgenic mice to generate antibodies and to exploit products containing the resulting antibodies (Antibody Products). Ipsoprubart (but not ELA822) was generated under this agreement. We own all intellectual property rights in the antibodies generated from our use of the mice and in all Antibody Products. </w:t>
      </w:r>
    </w:p>
    <w:p>
      <w:pPr>
        <w:pStyle w:val="TextBody"/>
        <w:bidi w:val="0"/>
        <w:spacing w:before="180" w:after="0"/>
        <w:jc w:val="left"/>
        <w:rPr>
          <w:rFonts w:ascii="Arial" w:hAnsi="Arial"/>
          <w:sz w:val="19"/>
        </w:rPr>
      </w:pPr>
      <w:r>
        <w:rPr>
          <w:rFonts w:ascii="Arial" w:hAnsi="Arial"/>
          <w:sz w:val="19"/>
        </w:rPr>
        <w:t xml:space="preserve">Under the agreement, we paid a one-time initial technology access fee and are obligated to pay annual low five-digit maintenance fees per distinct antigen with which we immunized the mice, continuing until the first commercial sale of an Antibody Product. In addition, the agreement requires us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applicable Antibody Product in the applicable country and continuing for 10 years thereafter. The agreement remains in effect until the expiration of the last-to-expire royalty term, unless earlier terminated by us at will or by either party for the other party’s uncured material breach of a material provision of the agreement. </w:t>
      </w:r>
    </w:p>
    <w:p>
      <w:pPr>
        <w:pStyle w:val="TextBody"/>
        <w:bidi w:val="0"/>
        <w:spacing w:before="240" w:after="0"/>
        <w:jc w:val="left"/>
        <w:rPr>
          <w:rFonts w:ascii="Arial" w:hAnsi="Arial"/>
          <w:b/>
          <w:sz w:val="20"/>
        </w:rPr>
      </w:pPr>
      <w:r>
        <w:rPr>
          <w:rFonts w:ascii="Arial" w:hAnsi="Arial"/>
          <w:b/>
          <w:sz w:val="20"/>
        </w:rPr>
        <w:t xml:space="preserve">Off-Balance Sheet Arrangements </w:t>
      </w:r>
    </w:p>
    <w:p>
      <w:pPr>
        <w:pStyle w:val="TextBody"/>
        <w:bidi w:val="0"/>
        <w:spacing w:before="80" w:after="0"/>
        <w:jc w:val="left"/>
        <w:rPr>
          <w:rFonts w:ascii="Arial" w:hAnsi="Arial"/>
          <w:sz w:val="19"/>
        </w:rPr>
      </w:pPr>
      <w:r>
        <w:rPr>
          <w:rFonts w:ascii="Arial" w:hAnsi="Arial"/>
          <w:sz w:val="19"/>
        </w:rPr>
        <w:t xml:space="preserve">Since our inception, we have not had, and we do not currently have, any off-balance sheet arrangements as defined in the rules and regulations of the SEC. </w:t>
      </w:r>
    </w:p>
    <w:p>
      <w:pPr>
        <w:pStyle w:val="TextBody"/>
        <w:bidi w:val="0"/>
        <w:spacing w:before="240" w:after="0"/>
        <w:jc w:val="left"/>
        <w:rPr>
          <w:rFonts w:ascii="Arial" w:hAnsi="Arial"/>
          <w:b/>
          <w:sz w:val="20"/>
        </w:rPr>
      </w:pPr>
      <w:r>
        <w:rPr>
          <w:rFonts w:ascii="Arial" w:hAnsi="Arial"/>
          <w:b/>
          <w:sz w:val="20"/>
        </w:rPr>
        <w:t xml:space="preserve">Critical Accounting Estimates </w:t>
      </w:r>
    </w:p>
    <w:p>
      <w:pPr>
        <w:pStyle w:val="TextBody"/>
        <w:bidi w:val="0"/>
        <w:spacing w:before="80" w:after="0"/>
        <w:jc w:val="left"/>
        <w:rPr>
          <w:rFonts w:ascii="Arial" w:hAnsi="Arial"/>
          <w:sz w:val="19"/>
        </w:rPr>
      </w:pPr>
      <w:r>
        <w:rPr>
          <w:rFonts w:ascii="Arial" w:hAnsi="Arial"/>
          <w:sz w:val="19"/>
        </w:rPr>
        <w:t xml:space="preserve">The preparation of these financial statements in accordance with accounting principles generally accepted in the United States (U.S. GAAP)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before="180" w:after="0"/>
        <w:jc w:val="left"/>
        <w:rPr>
          <w:rFonts w:ascii="Arial" w:hAnsi="Arial"/>
          <w:sz w:val="19"/>
        </w:rPr>
      </w:pPr>
      <w:r>
        <w:rPr>
          <w:rFonts w:ascii="Arial" w:hAnsi="Arial"/>
          <w:sz w:val="19"/>
        </w:rPr>
        <w:t xml:space="preserve">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Management concluded there were three critical accounting estimates as of and for the year ended December 31, 2025: accrued research and development expenses, stock-based compensation, and common stock valuations. </w:t>
      </w:r>
    </w:p>
    <w:p>
      <w:pPr>
        <w:pStyle w:val="TextBody"/>
        <w:bidi w:val="0"/>
        <w:spacing w:before="80" w:after="0"/>
        <w:jc w:val="left"/>
        <w:rPr>
          <w:rFonts w:ascii="Arial" w:hAnsi="Arial"/>
          <w:b/>
          <w:i/>
          <w:sz w:val="19"/>
        </w:rPr>
      </w:pPr>
      <w:r>
        <w:rPr>
          <w:rFonts w:ascii="Arial" w:hAnsi="Arial"/>
          <w:b/>
          <w:i/>
          <w:sz w:val="19"/>
        </w:rPr>
        <w:t xml:space="preserve">Accrued Research and Development Expenses </w:t>
      </w:r>
    </w:p>
    <w:p>
      <w:pPr>
        <w:pStyle w:val="TextBody"/>
        <w:bidi w:val="0"/>
        <w:spacing w:before="40" w:after="0"/>
        <w:jc w:val="left"/>
        <w:rPr>
          <w:rFonts w:ascii="Arial" w:hAnsi="Arial"/>
          <w:sz w:val="19"/>
        </w:rPr>
      </w:pPr>
      <w:r>
        <w:rPr>
          <w:rFonts w:ascii="Arial" w:hAnsi="Arial"/>
          <w:sz w:val="19"/>
        </w:rPr>
        <w:t xml:space="preserve">We estimate accrued research and development expenses based on the services performed, pursuant to contracts with research institutions and third-party service providers that conduct and manage nonclinical studies, clinical trial manufacturing services and other research services on our behalf. We record the costs of research and development activities based on the estimated services provided but not yet invoiced and include these costs in accrued expenses in the balance sheet. These costs are a component of our research and development expenses. </w:t>
      </w:r>
    </w:p>
    <w:p>
      <w:pPr>
        <w:pStyle w:val="TextBody"/>
        <w:bidi w:val="0"/>
        <w:spacing w:before="180" w:after="0"/>
        <w:jc w:val="left"/>
        <w:rPr>
          <w:rFonts w:ascii="Arial" w:hAnsi="Arial"/>
          <w:sz w:val="19"/>
        </w:rPr>
      </w:pPr>
      <w:r>
        <w:rPr>
          <w:rFonts w:ascii="Arial" w:hAnsi="Arial"/>
          <w:sz w:val="19"/>
        </w:rPr>
        <w:t xml:space="preserve">We accrue these costs based on factors such as estimates of the work completed in accordance with agreements established with our third-party service providers. We make judgments and estimates in determining the accrued expenses balance. As actual costs become known, we adjust our accrued expenses. We have not experienced any material differences between accrued costs and actual costs incurred. However, the status and timing of actual services performed may vary from our estimates, leading to adjustments to expenses in future periods. Changes in these estimates that result in material changes to our accrued expenses could materially affect our results of operations.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We estimate the fair value of stock options on the grant date using the Black-Scholes option pricing model, which requires us to make a number of assumptions considering, among other things, contemporaneous valuations of our common stock prepared by independent third-party valuation firms. The grant date fair value of stock-based awards is generally recognized on a straight-line basis over the requisite service period, which is generally the vesting period of the awards.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w:t>
      </w:r>
    </w:p>
    <w:p>
      <w:pPr>
        <w:pStyle w:val="TextBody"/>
        <w:bidi w:val="0"/>
        <w:spacing w:before="0" w:after="0"/>
        <w:jc w:val="left"/>
        <w:rPr>
          <w:rFonts w:ascii="Arial" w:hAnsi="Arial"/>
          <w:sz w:val="19"/>
        </w:rPr>
      </w:pPr>
      <w:r>
        <w:rPr>
          <w:rFonts w:ascii="Arial" w:hAnsi="Arial"/>
          <w:sz w:val="19"/>
        </w:rPr>
        <w:t xml:space="preserve">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Fair Value of Common Stock–</w:t>
            </w:r>
            <w:r>
              <w:rPr>
                <w:rFonts w:ascii="Arial" w:hAnsi="Arial"/>
                <w:sz w:val="19"/>
              </w:rPr>
              <w:t xml:space="preserve">See the subsection titled “—Common Stock Valuations”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Term–We determined the expected term of our stock options using the simplified method. The simplified method calculates the expected term as the average of the time-to-vesting and the contractual life of the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Expected Volatility–</w:t>
            </w:r>
            <w:r>
              <w:rPr>
                <w:rFonts w:ascii="Arial" w:hAnsi="Arial"/>
                <w:sz w:val="19"/>
              </w:rPr>
              <w:t xml:space="preserve">We estimated expected volatility data based on a study of publicly traded industry peer companies. To identify these peer companies, we considered the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Expected Dividend–</w:t>
            </w:r>
            <w:r>
              <w:rPr>
                <w:rFonts w:ascii="Arial" w:hAnsi="Arial"/>
                <w:sz w:val="19"/>
              </w:rPr>
              <w:t xml:space="preserve">Our assumption for the expected dividend yield is zero as we have no history or expectation of paying cash dividends on our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Risk-Free Interest Rate–</w:t>
            </w:r>
            <w:r>
              <w:rPr>
                <w:rFonts w:ascii="Arial" w:hAnsi="Arial"/>
                <w:sz w:val="19"/>
              </w:rPr>
              <w:t xml:space="preserve">We based the risk-free interest rate on the yield available on U.S. Treasury zero-coupon issues similar in duration to the expected term of the award. </w:t>
            </w:r>
          </w:p>
        </w:tc>
      </w:tr>
    </w:tbl>
    <w:p>
      <w:pPr>
        <w:pStyle w:val="TextBody"/>
        <w:bidi w:val="0"/>
        <w:spacing w:before="180" w:after="0"/>
        <w:jc w:val="left"/>
        <w:rPr>
          <w:rFonts w:ascii="Arial" w:hAnsi="Arial"/>
          <w:sz w:val="19"/>
        </w:rPr>
      </w:pPr>
      <w:r>
        <w:rPr>
          <w:rFonts w:ascii="Arial" w:hAnsi="Arial"/>
          <w:sz w:val="19"/>
        </w:rPr>
        <w:t xml:space="preserve">See Note 11 to our financial statements included elsewhere in this prospectus for information concerning certain of the specific assumptions we used in applying the Black-Scholes option pricing model to determine the estimated fair value of our stock options granted in the period presented. Such assumptions involve inherent uncertainties and the application of significant judgment. As a result, if factors or expected outcomes change and we use significantly different assumptions or estimates, our stock-based compensation expense could be materially different. </w:t>
      </w:r>
    </w:p>
    <w:p>
      <w:pPr>
        <w:pStyle w:val="TextBody"/>
        <w:bidi w:val="0"/>
        <w:spacing w:before="180" w:after="0"/>
        <w:jc w:val="left"/>
        <w:rPr>
          <w:rFonts w:ascii="Arial" w:hAnsi="Arial"/>
          <w:sz w:val="19"/>
        </w:rPr>
      </w:pPr>
      <w:r>
        <w:rPr>
          <w:rFonts w:ascii="Arial" w:hAnsi="Arial"/>
          <w:sz w:val="19"/>
        </w:rPr>
        <w:t xml:space="preserve">The aggregate intrinsic value of all outstanding stock options as of    , 2026, was $    million based on the assumed initial public offering price of $    per share, which is the midpoint of the price range set forth on the cover of this prospectus, of which approximately $    million was related to vested stock options and approximately $    million was related to unvested stock options. </w:t>
      </w:r>
    </w:p>
    <w:p>
      <w:pPr>
        <w:pStyle w:val="TextBody"/>
        <w:bidi w:val="0"/>
        <w:spacing w:before="80" w:after="0"/>
        <w:jc w:val="left"/>
        <w:rPr>
          <w:rFonts w:ascii="Arial" w:hAnsi="Arial"/>
          <w:b/>
          <w:i/>
          <w:sz w:val="19"/>
        </w:rPr>
      </w:pPr>
      <w:r>
        <w:rPr>
          <w:rFonts w:ascii="Arial" w:hAnsi="Arial"/>
          <w:b/>
          <w:i/>
          <w:sz w:val="19"/>
        </w:rPr>
        <w:t xml:space="preserve">Common Stock Valuations </w:t>
      </w:r>
    </w:p>
    <w:p>
      <w:pPr>
        <w:pStyle w:val="TextBody"/>
        <w:bidi w:val="0"/>
        <w:spacing w:before="40" w:after="0"/>
        <w:jc w:val="left"/>
        <w:rPr>
          <w:rFonts w:ascii="Arial" w:hAnsi="Arial"/>
          <w:sz w:val="19"/>
        </w:rPr>
      </w:pPr>
      <w:r>
        <w:rPr>
          <w:rFonts w:ascii="Arial" w:hAnsi="Arial"/>
          <w:sz w:val="19"/>
        </w:rPr>
        <w:t xml:space="preserve">Our stock-based compensation includes stock options issued under the 2022 Stock Plan and profits interest units which were granted under Electra Therapeutics LLC’s 2023 Equity Incentive Plan. In the six months ended June 30,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2026, we recorded stock-based compensation expenses of $2.4 million related to stock options and $0.2 million related to profits interest units. No profits interest units have been granted by Electra Therapeutics LLC subsequent to February 2024. </w:t>
      </w:r>
    </w:p>
    <w:p>
      <w:pPr>
        <w:pStyle w:val="TextBody"/>
        <w:bidi w:val="0"/>
        <w:spacing w:before="180" w:after="0"/>
        <w:jc w:val="left"/>
        <w:rPr>
          <w:rFonts w:ascii="Arial" w:hAnsi="Arial"/>
          <w:sz w:val="19"/>
        </w:rPr>
      </w:pPr>
      <w:r>
        <w:rPr>
          <w:rFonts w:ascii="Arial" w:hAnsi="Arial"/>
          <w:sz w:val="19"/>
        </w:rPr>
        <w:t xml:space="preserve">For the grant of stock options, as there has been no public market of our common stock and preferred stock to date, the estimated fair value of our common stock has been determined by our board of directors with input from management and with consideration of independent third party valuations. Given the absence of a public market for our common stock, our board of directors exercised reasonable judgment and considered a number of objective and subjective factors to determine the best estimate of the fair market value, including: our stage of development and material risks related to our business; the progress of our research and development programs; the prices at which we sold shares of our redeemable convertible preferred stock; the rights, preferences and privileges of our redeemable convertible preferred stock relative to those of common stock; our financial condition and operating results, including our levels of available capital resources; external market conditions in the life sciences industry; general U.S. market and economic conditions; equity market conditions of comparable public companies; the lack of marketability of our securities; and the likelihood of achieving a liquidity event such as an initial public offering (IPO) in light of prevailing market conditions. Valuations of our common stock were prepared in accordance with the guidance outlined in the American Institute of Certified Public </w:t>
      </w:r>
      <w:r>
        <w:rPr>
          <w:rFonts w:ascii="Arial" w:hAnsi="Arial"/>
          <w:i/>
          <w:sz w:val="19"/>
        </w:rPr>
        <w:t>Accountants’ Accounting and Valuation</w:t>
      </w:r>
      <w:r>
        <w:rPr>
          <w:rFonts w:ascii="Arial" w:hAnsi="Arial"/>
          <w:sz w:val="19"/>
        </w:rPr>
        <w:t xml:space="preserve"> </w:t>
      </w:r>
      <w:r>
        <w:rPr>
          <w:rFonts w:ascii="Arial" w:hAnsi="Arial"/>
          <w:i/>
          <w:sz w:val="19"/>
        </w:rPr>
        <w:t>Practice Guide, Valuation of Privately-Held-Company Equity Securities Issued as Compensation</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Consistent with the guidance, for the valuations performed to date, we determined the hybrid method was the most appropriate method for allocating the equity value to the outstanding classes of securities. The hybrid method uses a hybrid approach between the option pricing method (OPM) and a 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Under the hybrid method, the equity value is estimated based on probability weighted value across multiple scenarios where the OPM is used to estimate the allocation of value within one or more of those scenarios. In our application of the hybrid method, we assumed a liquidity scenario of an IPO and a stay-private scenario, and our equity value was probability weighted across those scenarios. Our board of directors also considered the fact that our common stock could not freely trade in the public markets and applied appropriate discounts for lack of marketability. </w:t>
      </w:r>
    </w:p>
    <w:p>
      <w:pPr>
        <w:pStyle w:val="TextBody"/>
        <w:bidi w:val="0"/>
        <w:spacing w:before="180" w:after="0"/>
        <w:jc w:val="left"/>
        <w:rPr>
          <w:rFonts w:ascii="Arial" w:hAnsi="Arial"/>
          <w:sz w:val="19"/>
        </w:rPr>
      </w:pPr>
      <w:r>
        <w:rPr>
          <w:rFonts w:ascii="Arial" w:hAnsi="Arial"/>
          <w:sz w:val="19"/>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 Further expense amounts for any particular period could be affected by changes in our assumptions or market conditions. </w:t>
      </w:r>
    </w:p>
    <w:p>
      <w:pPr>
        <w:pStyle w:val="TextBody"/>
        <w:bidi w:val="0"/>
        <w:spacing w:before="240" w:after="0"/>
        <w:jc w:val="left"/>
        <w:rPr>
          <w:rFonts w:ascii="Arial" w:hAnsi="Arial"/>
          <w:b/>
          <w:sz w:val="20"/>
        </w:rPr>
      </w:pPr>
      <w:r>
        <w:rPr>
          <w:rFonts w:ascii="Arial" w:hAnsi="Arial"/>
          <w:b/>
          <w:sz w:val="20"/>
        </w:rPr>
        <w:t xml:space="preserve">Recent Accounting Pronouncements </w:t>
      </w:r>
    </w:p>
    <w:p>
      <w:pPr>
        <w:pStyle w:val="TextBody"/>
        <w:bidi w:val="0"/>
        <w:spacing w:before="80" w:after="0"/>
        <w:jc w:val="left"/>
        <w:rPr>
          <w:rFonts w:ascii="Arial" w:hAnsi="Arial"/>
          <w:sz w:val="19"/>
        </w:rPr>
      </w:pPr>
      <w:r>
        <w:rPr>
          <w:rFonts w:ascii="Arial" w:hAnsi="Arial"/>
          <w:sz w:val="19"/>
        </w:rPr>
        <w:t xml:space="preserve">See Note 2 to our financial statements included elsewhere in this prospectus. </w:t>
      </w:r>
    </w:p>
    <w:p>
      <w:pPr>
        <w:pStyle w:val="TextBody"/>
        <w:bidi w:val="0"/>
        <w:spacing w:before="240" w:after="0"/>
        <w:jc w:val="left"/>
        <w:rPr>
          <w:rFonts w:ascii="Arial" w:hAnsi="Arial"/>
          <w:b/>
          <w:sz w:val="20"/>
        </w:rPr>
      </w:pPr>
      <w:r>
        <w:rPr>
          <w:rFonts w:ascii="Arial" w:hAnsi="Arial"/>
          <w:b/>
          <w:sz w:val="20"/>
        </w:rPr>
        <w:t xml:space="preserve">Emerging Growth Company and Smaller Reporting Company Status </w:t>
      </w:r>
    </w:p>
    <w:p>
      <w:pPr>
        <w:pStyle w:val="TextBody"/>
        <w:bidi w:val="0"/>
        <w:spacing w:before="80" w:after="0"/>
        <w:jc w:val="left"/>
        <w:rPr>
          <w:rFonts w:ascii="Arial" w:hAnsi="Arial"/>
          <w:sz w:val="19"/>
        </w:rPr>
      </w:pPr>
      <w:r>
        <w:rPr>
          <w:rFonts w:ascii="Arial" w:hAnsi="Arial"/>
          <w:sz w:val="19"/>
        </w:rPr>
        <w:t xml:space="preserve">We expect to be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pStyle w:val="TextBody"/>
        <w:bidi w:val="0"/>
        <w:spacing w:before="180" w:after="0"/>
        <w:jc w:val="left"/>
        <w:rPr>
          <w:rFonts w:ascii="Arial" w:hAnsi="Arial"/>
          <w:sz w:val="19"/>
        </w:rPr>
      </w:pPr>
      <w:r>
        <w:rPr>
          <w:rFonts w:ascii="Arial" w:hAnsi="Arial"/>
          <w:sz w:val="19"/>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 </w:t>
      </w:r>
    </w:p>
    <w:p>
      <w:pPr>
        <w:pStyle w:val="TextBody"/>
        <w:bidi w:val="0"/>
        <w:spacing w:before="240" w:after="0"/>
        <w:jc w:val="left"/>
        <w:rPr>
          <w:rFonts w:ascii="Arial" w:hAnsi="Arial"/>
          <w:b/>
          <w:sz w:val="20"/>
        </w:rPr>
      </w:pPr>
      <w:r>
        <w:rPr>
          <w:rFonts w:ascii="Arial" w:hAnsi="Arial"/>
          <w:b/>
          <w:sz w:val="20"/>
        </w:rPr>
        <w:t xml:space="preserve">Quantitative and Qualitative Disclosures About Market Risk </w:t>
      </w:r>
    </w:p>
    <w:p>
      <w:pPr>
        <w:pStyle w:val="TextBody"/>
        <w:bidi w:val="0"/>
        <w:spacing w:before="80" w:after="0"/>
        <w:jc w:val="left"/>
        <w:rPr>
          <w:rFonts w:ascii="Arial" w:hAnsi="Arial"/>
          <w:b/>
          <w:i/>
          <w:sz w:val="19"/>
        </w:rPr>
      </w:pPr>
      <w:r>
        <w:rPr>
          <w:rFonts w:ascii="Arial" w:hAnsi="Arial"/>
          <w:b/>
          <w:i/>
          <w:sz w:val="19"/>
        </w:rPr>
        <w:t xml:space="preserve">Interest Rate and Market Risk </w:t>
      </w:r>
    </w:p>
    <w:p>
      <w:pPr>
        <w:pStyle w:val="TextBody"/>
        <w:bidi w:val="0"/>
        <w:spacing w:before="40" w:after="0"/>
        <w:jc w:val="left"/>
        <w:rPr>
          <w:rFonts w:ascii="Arial" w:hAnsi="Arial"/>
          <w:sz w:val="19"/>
        </w:rPr>
      </w:pPr>
      <w:r>
        <w:rPr>
          <w:rFonts w:ascii="Arial" w:hAnsi="Arial"/>
          <w:sz w:val="19"/>
        </w:rPr>
        <w:t xml:space="preserve">We are exposed to market risks in the ordinary course of our business, primarily limited to interest rate fluctuations. Financial instruments that potentially subject us to concentrations of credit risk primarily consist of cash, cash equivalents and marketable securities. We may maintain deposits in federally insured financial institutions in excess of federally insured limits and hold investments in money market funds and U.S. Treasury and corporate securities, which can be subject to certain credit risks. The primary objective of our investment activities is to preserve principal and liquidity while maximizing income without significantly increasing risk. We do not enter into investments for trading or speculative purposes. </w:t>
      </w:r>
    </w:p>
    <w:p>
      <w:pPr>
        <w:pStyle w:val="TextBody"/>
        <w:bidi w:val="0"/>
        <w:spacing w:before="180" w:after="0"/>
        <w:jc w:val="left"/>
        <w:rPr>
          <w:rFonts w:ascii="Arial" w:hAnsi="Arial"/>
          <w:sz w:val="19"/>
        </w:rPr>
      </w:pPr>
      <w:r>
        <w:rPr>
          <w:rFonts w:ascii="Arial" w:hAnsi="Arial"/>
          <w:sz w:val="19"/>
        </w:rPr>
        <w:t xml:space="preserve">Due to the short-term nature of our investment portfolio, we do not believe that a hypothetical 10% increase or decrease in interest rates during any of the periods presented would have a material effect on our financial statements included elsewhere in this prospectus. </w:t>
      </w:r>
    </w:p>
    <w:p>
      <w:pPr>
        <w:pStyle w:val="TextBody"/>
        <w:bidi w:val="0"/>
        <w:spacing w:before="80" w:after="0"/>
        <w:jc w:val="left"/>
        <w:rPr>
          <w:rFonts w:ascii="Arial" w:hAnsi="Arial"/>
          <w:b/>
          <w:i/>
          <w:sz w:val="19"/>
        </w:rPr>
      </w:pPr>
      <w:r>
        <w:rPr>
          <w:rFonts w:ascii="Arial" w:hAnsi="Arial"/>
          <w:b/>
          <w:i/>
          <w:sz w:val="19"/>
        </w:rPr>
        <w:t xml:space="preserve">Effects of Inflation </w:t>
      </w:r>
    </w:p>
    <w:p>
      <w:pPr>
        <w:pStyle w:val="TextBody"/>
        <w:bidi w:val="0"/>
        <w:spacing w:before="40" w:after="0"/>
        <w:jc w:val="left"/>
        <w:rPr>
          <w:rFonts w:ascii="Arial" w:hAnsi="Arial"/>
          <w:sz w:val="19"/>
        </w:rPr>
      </w:pPr>
      <w:r>
        <w:rPr>
          <w:rFonts w:ascii="Arial" w:hAnsi="Arial"/>
          <w:sz w:val="19"/>
        </w:rPr>
        <w:t xml:space="preserve">Inflation generally affects us by increasing our cost of labor and research and development contract costs. We do not believe inflation has had a material effect on our results of operations during the periods presented in our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2" w:name="toc61940_10"/>
      <w:bookmarkEnd w:id="12"/>
      <w:r>
        <w:rPr>
          <w:rFonts w:ascii="Arial" w:hAnsi="Arial"/>
          <w:b/>
          <w:sz w:val="20"/>
        </w:rPr>
        <w:t xml:space="preserve">BUSINESS </w:t>
      </w:r>
    </w:p>
    <w:p>
      <w:pPr>
        <w:pStyle w:val="TextBody"/>
        <w:bidi w:val="0"/>
        <w:spacing w:before="80" w:after="0"/>
        <w:jc w:val="left"/>
        <w:rPr>
          <w:rFonts w:ascii="Arial" w:hAnsi="Arial"/>
          <w:b/>
          <w:sz w:val="20"/>
        </w:rPr>
      </w:pPr>
      <w:r>
        <w:rPr>
          <w:rFonts w:ascii="Arial" w:hAnsi="Arial"/>
          <w:b/>
          <w:sz w:val="20"/>
        </w:rPr>
        <w:t xml:space="preserve">Overview </w:t>
      </w:r>
    </w:p>
    <w:p>
      <w:pPr>
        <w:pStyle w:val="TextBody"/>
        <w:bidi w:val="0"/>
        <w:spacing w:before="80" w:after="0"/>
        <w:jc w:val="left"/>
        <w:rPr>
          <w:rFonts w:ascii="Arial" w:hAnsi="Arial"/>
          <w:sz w:val="19"/>
        </w:rPr>
      </w:pPr>
      <w:r>
        <w:rPr>
          <w:rFonts w:ascii="Arial" w:hAnsi="Arial"/>
          <w:sz w:val="19"/>
        </w:rPr>
        <w:t xml:space="preserve">We are a late clinical-stage biopharmaceutical company focused on pioneering a new class of precision medicines for the treatment of immune-mediated diseases and cancer. Our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By replacing broad immunosuppression with selective elimination of principal cells that drive disease, we believe our approach can do for immune-mediated diseases what precision oncology has done for cancer, transforming the treatment paradigm for patients. To our knowledge, we are the first company to advance this SIRP-targeted precision immune cell depletion approach into clinical development and demonstrate proof-of-concept in humans. </w:t>
      </w:r>
    </w:p>
    <w:p>
      <w:pPr>
        <w:pStyle w:val="TextBody"/>
        <w:bidi w:val="0"/>
        <w:spacing w:before="180" w:after="0"/>
        <w:jc w:val="left"/>
        <w:rPr>
          <w:rFonts w:ascii="Arial" w:hAnsi="Arial"/>
          <w:sz w:val="19"/>
        </w:rPr>
      </w:pPr>
      <w:r>
        <w:rPr>
          <w:rFonts w:ascii="Arial" w:hAnsi="Arial"/>
          <w:sz w:val="19"/>
        </w:rPr>
        <w:t>Our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which is currently in a global registrational program for patients with secondary hemophagocytic lymphohistiocytosis (sHLH). In our Phase 1b trial, ipsoprubart was generally well tolerated and demonstrated a 100% 8-week overall survival (OS) rate and 100% overall response rate (ORR) in 12 frontline patients with malignancy-associated HLH (mHLH), the largest subset of sHLH and the population associated with the poorest outcomes. Of the 12 mHLH frontline patients, 10 achieved a partial response (PR) and two achieved a modified complete response (mCR). We are conducting SURPASS, our global Phase 2/3 registrational trial in newly diagnosed, treatment-naïve sHLH patients, as well as COMPASS, our natural history study designed to provide an external control comparator for SURPASS. We expect topline data in    . Ipsoprubart has received Breakthrough Therapy designation (BTD) from the U.S. Food and Drug Administration (FDA) and PRIority MEdicine (PRIME) designation from the European Medicines Agency (EMA), each granted for the treatment of sHLH broadly. </w:t>
      </w:r>
    </w:p>
    <w:p>
      <w:pPr>
        <w:pStyle w:val="TextBody"/>
        <w:bidi w:val="0"/>
        <w:spacing w:before="180" w:after="0"/>
        <w:jc w:val="left"/>
        <w:rPr>
          <w:rFonts w:ascii="Arial" w:hAnsi="Arial"/>
          <w:sz w:val="19"/>
        </w:rPr>
      </w:pPr>
      <w:r>
        <w:rPr>
          <w:rFonts w:ascii="Arial" w:hAnsi="Arial"/>
          <w:sz w:val="19"/>
        </w:rPr>
        <w:t xml:space="preserve">In addition, in eight evaluable sHLH patients with underlying T or B cell lymphomas treated across our Phase 1b trial and Expanded Access Program, who had tumor response measurements within weeks of treatment, ipsoprubart demonstrated a 100% objective tumor response rate, with seven out of eight patients achieving a complete response (CR). We are conducting a Phase 1 clinical trial evaluating ipsoprubart as a monotherapy in relapsed/refractory T cell and natural killer (NK) cell malignancies, with initial data expected in     . </w:t>
      </w:r>
    </w:p>
    <w:p>
      <w:pPr>
        <w:pStyle w:val="TextBody"/>
        <w:bidi w:val="0"/>
        <w:spacing w:before="180" w:after="0"/>
        <w:jc w:val="left"/>
        <w:rPr>
          <w:rFonts w:ascii="Arial" w:hAnsi="Arial"/>
          <w:sz w:val="19"/>
        </w:rPr>
      </w:pPr>
      <w:r>
        <w:rPr>
          <w:rFonts w:ascii="Arial" w:hAnsi="Arial"/>
          <w:sz w:val="19"/>
        </w:rPr>
        <w:t>We are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cell-mediated immune and inflammatory diseases. We have obtained regulatory clearance to initiate a Phase 1 clinical trial of ELA822 in healthy volunteers in Europe. We have activated our clinical trial site, and we expect initial data in     . We plan to initiate a Phase 1 clinical trial of volunteers with initial data expected in    .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have generated a proprietary library of SIRP-targeted antibodies with distinct profiles, developed over years of dedicated discovery and engineering. This platform provides substantial flexibility to align antibody design with the cellular biology and therapeutic objectives of each program, and we believe it positions us to pursue a broad range of indications involving pathogenic SIRP-expressing cells without requiring additional </w:t>
      </w:r>
      <w:r>
        <w:rPr>
          <w:rFonts w:ascii="Arial" w:hAnsi="Arial"/>
          <w:i/>
          <w:sz w:val="19"/>
        </w:rPr>
        <w:t>de novo</w:t>
      </w:r>
      <w:r>
        <w:rPr>
          <w:rFonts w:ascii="Arial" w:hAnsi="Arial"/>
          <w:sz w:val="19"/>
        </w:rPr>
        <w:t xml:space="preserve"> discovery efforts. From our proprietary library of SIRP-targeted antibodies, we have advanced two product candidates, ipsoprubart and ELA822, each designed for distinct disease settings, as shown in the chart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3355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5800" cy="2335530"/>
                    </a:xfrm>
                    <a:prstGeom prst="rect">
                      <a:avLst/>
                    </a:prstGeom>
                  </pic:spPr>
                </pic:pic>
              </a:graphicData>
            </a:graphic>
          </wp:inline>
        </w:drawing>
      </w:r>
      <w:r>
        <w:rPr/>
        <w:t xml:space="preserve"> </w:t>
      </w:r>
    </w:p>
    <w:p>
      <w:pPr>
        <w:pStyle w:val="TextBody"/>
        <w:bidi w:val="0"/>
        <w:spacing w:before="80" w:after="0"/>
        <w:jc w:val="left"/>
        <w:rPr>
          <w:rFonts w:ascii="Arial" w:hAnsi="Arial"/>
          <w:b/>
          <w:i/>
          <w:sz w:val="19"/>
        </w:rPr>
      </w:pPr>
      <w:r>
        <w:rPr>
          <w:rFonts w:ascii="Arial" w:hAnsi="Arial"/>
          <w:b/>
          <w:i/>
          <w:sz w:val="19"/>
        </w:rPr>
        <w:t xml:space="preserve">Ipsoprubart for the Treatment of Secondary Hemophagocytic Lymphohistiocytosis (sHLH) </w:t>
      </w:r>
    </w:p>
    <w:p>
      <w:pPr>
        <w:pStyle w:val="TextBody"/>
        <w:bidi w:val="0"/>
        <w:spacing w:before="40" w:after="0"/>
        <w:jc w:val="left"/>
        <w:rPr>
          <w:rFonts w:ascii="Arial" w:hAnsi="Arial"/>
          <w:sz w:val="19"/>
        </w:rPr>
      </w:pPr>
      <w:r>
        <w:rPr>
          <w:rFonts w:ascii="Arial" w:hAnsi="Arial"/>
          <w:sz w:val="19"/>
        </w:rPr>
        <w:t xml:space="preserve">Ipsoprubart (formerly known as ELA026),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45%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non-International Classification of Diseases (ICD) (standardized diagnosis codes used to classify medical conditions) coded patients. As disease awareness increases, underlying triggering conditions become more prevalent, and diagnostic approaches become simpler, we believe the diagnosed incidence will continue to rise. </w:t>
      </w:r>
    </w:p>
    <w:p>
      <w:pPr>
        <w:pStyle w:val="TextBody"/>
        <w:bidi w:val="0"/>
        <w:spacing w:before="180" w:after="0"/>
        <w:jc w:val="left"/>
        <w:rPr>
          <w:rFonts w:ascii="Arial" w:hAnsi="Arial"/>
          <w:sz w:val="19"/>
        </w:rPr>
      </w:pPr>
      <w:r>
        <w:rPr>
          <w:rFonts w:ascii="Arial" w:hAnsi="Arial"/>
          <w:sz w:val="19"/>
        </w:rPr>
        <w:t xml:space="preserve">In our completed Phase 1b trial, ipsoprubart was generally well tolerated and achieved 100% OS at 8 weeks in 12 frontline mHLH patients, alongside a 100% ORR, rapid improvement of key pharmacodynamic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has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topline data expected in    . </w:t>
      </w:r>
    </w:p>
    <w:p>
      <w:pPr>
        <w:pStyle w:val="TextBody"/>
        <w:bidi w:val="0"/>
        <w:spacing w:before="80" w:after="0"/>
        <w:jc w:val="left"/>
        <w:rPr>
          <w:rFonts w:ascii="Arial" w:hAnsi="Arial"/>
          <w:b/>
          <w:i/>
          <w:sz w:val="19"/>
        </w:rPr>
      </w:pPr>
      <w:r>
        <w:rPr>
          <w:rFonts w:ascii="Arial" w:hAnsi="Arial"/>
          <w:b/>
          <w:i/>
          <w:sz w:val="19"/>
        </w:rPr>
        <w:t xml:space="preserve">Ipsoprubart for the Treatment of T/NK Cell Malignancies </w:t>
      </w:r>
    </w:p>
    <w:p>
      <w:pPr>
        <w:pStyle w:val="TextBody"/>
        <w:bidi w:val="0"/>
        <w:spacing w:before="40" w:after="0"/>
        <w:jc w:val="left"/>
        <w:rPr>
          <w:rFonts w:ascii="Arial" w:hAnsi="Arial"/>
          <w:sz w:val="19"/>
        </w:rPr>
      </w:pPr>
      <w:r>
        <w:rPr>
          <w:rFonts w:ascii="Arial" w:hAnsi="Arial"/>
          <w:sz w:val="19"/>
        </w:rPr>
        <w:t xml:space="preserve">In eight patients treated across our Phase 1b trial and Expanded Access Program, who had tumor response measurements within weeks of treatment, ipsoprubart achieved a 100% objective tumor response rate, including an 88% CR rate. One patient with heavily refractory T cell lymphoma treated with ipsoprubart as a monotherapy experienced a CR with respect to both sHLH and the underlying T cell lymphoma. The patient was alive as of the last follow-up, more than one year post treatment.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and we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estimate a diagnosed incidence rate of more than 13,000 diagnosed incidence annually in the United States across the T/NK cell malignancy subtypes. Based on the anti-tumor activity observed in the patients from the Phase 1b trial and Expanded Access Program, we have initiated a Phase 1 clinical trial of ipsoprubart in relapsed/refractory T/NK cell malignancies and expect initial data in    . </w:t>
      </w:r>
    </w:p>
    <w:p>
      <w:pPr>
        <w:pStyle w:val="TextBody"/>
        <w:bidi w:val="0"/>
        <w:spacing w:before="80" w:after="0"/>
        <w:jc w:val="left"/>
        <w:rPr>
          <w:rFonts w:ascii="Arial" w:hAnsi="Arial"/>
          <w:b/>
          <w:i/>
          <w:sz w:val="19"/>
        </w:rPr>
      </w:pPr>
      <w:r>
        <w:rPr>
          <w:rFonts w:ascii="Arial" w:hAnsi="Arial"/>
          <w:b/>
          <w:i/>
          <w:sz w:val="19"/>
        </w:rPr>
        <w:t xml:space="preserve">ELA822 for the Treatment of Chronic Immune and Inflammatory Diseases </w:t>
      </w:r>
    </w:p>
    <w:p>
      <w:pPr>
        <w:pStyle w:val="TextBody"/>
        <w:bidi w:val="0"/>
        <w:spacing w:before="40" w:after="0"/>
        <w:jc w:val="left"/>
        <w:rPr>
          <w:rFonts w:ascii="Arial" w:hAnsi="Arial"/>
          <w:sz w:val="19"/>
        </w:rPr>
      </w:pPr>
      <w:r>
        <w:rPr>
          <w:rFonts w:ascii="Arial" w:hAnsi="Arial"/>
          <w:sz w:val="19"/>
        </w:rPr>
        <w:t>ELA822, our second product candidate, is a novel SIRP</w:t>
      </w:r>
      <w:r>
        <w:rPr>
          <w:rFonts w:ascii="SYMBOL" w:hAnsi="SYMBOL"/>
          <w:sz w:val="19"/>
        </w:rPr>
        <w:t>g</w:t>
      </w:r>
      <w:r>
        <w:rPr>
          <w:rFonts w:ascii="Arial" w:hAnsi="Arial"/>
          <w:sz w:val="19"/>
        </w:rPr>
        <w:t xml:space="preserve">-specific antibody designed to selectively deplete activated, pathogenic T cells while sparing naïve and regulatory myeloid cells and T cells – a target profile we believe is well suited for a broad range of chronic T cell-mediated immune and inflammatory diseases where durable efficacy and long-term tolerability are important therapeutic objectives. Nonclinical data for ELA822 demonstrated selective depletion of activated T cells and </w:t>
      </w:r>
      <w:r>
        <w:rPr>
          <w:rFonts w:ascii="Arial" w:hAnsi="Arial"/>
          <w:i/>
          <w:sz w:val="19"/>
        </w:rPr>
        <w:t>in vivo</w:t>
      </w:r>
      <w:r>
        <w:rPr>
          <w:rFonts w:ascii="Arial" w:hAnsi="Arial"/>
          <w:sz w:val="19"/>
        </w:rPr>
        <w:t xml:space="preserve"> activity in humanized models of T cell-driven diseases, including giant cell arteritis (GCA) and graft-versus-host disease (GvHD). ELA822 was well tolerated in non-human primate (NHP) studies. We have obtained regulatory clearance to initiate a Phase 1 clinical trial of ELA822 in healthy volunteers in Europe. We have activated our clinical trial site, and we expect initial data in     . </w:t>
      </w:r>
    </w:p>
    <w:p>
      <w:pPr>
        <w:pStyle w:val="TextBody"/>
        <w:bidi w:val="0"/>
        <w:spacing w:before="240" w:after="0"/>
        <w:jc w:val="left"/>
        <w:rPr>
          <w:rFonts w:ascii="Arial" w:hAnsi="Arial"/>
          <w:b/>
          <w:sz w:val="20"/>
        </w:rPr>
      </w:pPr>
      <w:r>
        <w:rPr>
          <w:rFonts w:ascii="Arial" w:hAnsi="Arial"/>
          <w:b/>
          <w:sz w:val="20"/>
        </w:rPr>
        <w:t xml:space="preserve">Our Approach: Precision SIRP-Targeted Immune Cell Depletion </w:t>
      </w:r>
    </w:p>
    <w:p>
      <w:pPr>
        <w:pStyle w:val="TextBody"/>
        <w:bidi w:val="0"/>
        <w:spacing w:before="80" w:after="0"/>
        <w:jc w:val="left"/>
        <w:rPr>
          <w:rFonts w:ascii="Arial" w:hAnsi="Arial"/>
          <w:b/>
          <w:i/>
          <w:sz w:val="19"/>
        </w:rPr>
      </w:pPr>
      <w:r>
        <w:rPr>
          <w:rFonts w:ascii="Arial" w:hAnsi="Arial"/>
          <w:b/>
          <w:i/>
          <w:sz w:val="19"/>
        </w:rPr>
        <w:t xml:space="preserve">The Unmet Need in Immune-Mediated Diseases </w:t>
      </w:r>
    </w:p>
    <w:p>
      <w:pPr>
        <w:pStyle w:val="TextBody"/>
        <w:bidi w:val="0"/>
        <w:spacing w:before="40" w:after="0"/>
        <w:jc w:val="left"/>
        <w:rPr>
          <w:rFonts w:ascii="Arial" w:hAnsi="Arial"/>
          <w:sz w:val="19"/>
        </w:rPr>
      </w:pPr>
      <w:r>
        <w:rPr>
          <w:rFonts w:ascii="Arial" w:hAnsi="Arial"/>
          <w:sz w:val="19"/>
        </w:rPr>
        <w:t xml:space="preserve">Pathogenic myeloid cells and T cells are key drivers of immune dysregulation across a broad range of diseases, including acute hyperinflammatory syndromes, chronic inflammatory conditions, and malignancies. Aberrant activation of these cells can lead to excessive release of numerous proinflammatory cytokines and mediators, driving tissue damage, systemic inflammation, and end-organ dysfunction. Current therapies are often limited either by broad immunosuppression associated with non-selective immune modulation or by insufficient disease control resulting from narrowly targeting individual cytokines. </w:t>
      </w:r>
    </w:p>
    <w:p>
      <w:pPr>
        <w:pStyle w:val="TextBody"/>
        <w:bidi w:val="0"/>
        <w:spacing w:before="180" w:after="0"/>
        <w:jc w:val="left"/>
        <w:rPr>
          <w:rFonts w:ascii="Arial" w:hAnsi="Arial"/>
          <w:sz w:val="19"/>
        </w:rPr>
      </w:pPr>
      <w:r>
        <w:rPr>
          <w:rFonts w:ascii="Arial" w:hAnsi="Arial"/>
          <w:sz w:val="19"/>
        </w:rPr>
        <w:t xml:space="preserve">We believe that selectively eliminating activated pathogenic cells, while preserving host defense and immune homeostasis, may provide a more effective therapeutic approach for diseases driven by dysregulated myeloid cell and T cell activity. </w:t>
      </w:r>
    </w:p>
    <w:p>
      <w:pPr>
        <w:pStyle w:val="TextBody"/>
        <w:bidi w:val="0"/>
        <w:spacing w:before="80" w:after="0"/>
        <w:jc w:val="left"/>
        <w:rPr>
          <w:rFonts w:ascii="Arial" w:hAnsi="Arial"/>
          <w:b/>
          <w:i/>
          <w:sz w:val="19"/>
        </w:rPr>
      </w:pPr>
      <w:r>
        <w:rPr>
          <w:rFonts w:ascii="Arial" w:hAnsi="Arial"/>
          <w:b/>
          <w:i/>
          <w:sz w:val="19"/>
        </w:rPr>
        <w:t xml:space="preserve">SIRP Expression as a Marker of Immune Cell Activation </w:t>
      </w:r>
    </w:p>
    <w:p>
      <w:pPr>
        <w:pStyle w:val="TextBody"/>
        <w:bidi w:val="0"/>
        <w:spacing w:before="40" w:after="0"/>
        <w:jc w:val="left"/>
        <w:rPr>
          <w:rFonts w:ascii="Arial" w:hAnsi="Arial"/>
          <w:sz w:val="19"/>
        </w:rPr>
      </w:pPr>
      <w:r>
        <w:rPr>
          <w:rFonts w:ascii="Arial" w:hAnsi="Arial"/>
          <w:sz w:val="19"/>
        </w:rPr>
        <w:t xml:space="preserve">Our approach leverages the unique biology of SIRP to enable selective depletion of activated pathogenic cells. SIRP is a family of cell surface receptors involved in regulating immune homeostasis and inflammatory responses. Their expression is largely restricted to defined immune cell populations and can increase significantly as these cells become activated. This activation-dependent expression pattern creates a molecular marker, or flag, that can be targeted to selectively deplete disease-driving cells while sparing naïve and regulatory immune populations necessary for normal immune function. </w:t>
      </w:r>
    </w:p>
    <w:p>
      <w:pPr>
        <w:pStyle w:val="TextBody"/>
        <w:bidi w:val="0"/>
        <w:spacing w:before="180" w:after="0"/>
        <w:jc w:val="left"/>
        <w:rPr>
          <w:rFonts w:ascii="Arial" w:hAnsi="Arial"/>
          <w:sz w:val="19"/>
        </w:rPr>
      </w:pPr>
      <w:r>
        <w:rPr>
          <w:rFonts w:ascii="Arial" w:hAnsi="Arial"/>
          <w:sz w:val="19"/>
        </w:rPr>
        <w:t>The principal members of the SIRP family include SIRP</w:t>
      </w:r>
      <w:r>
        <w:rPr>
          <w:rFonts w:ascii="SYMBOL" w:hAnsi="SYMBOL"/>
          <w:sz w:val="19"/>
        </w:rPr>
        <w:t>a</w:t>
      </w:r>
      <w:r>
        <w:rPr>
          <w:rFonts w:ascii="Arial" w:hAnsi="Arial"/>
          <w:sz w:val="19"/>
        </w:rPr>
        <w:t xml:space="preserve"> and SIRPß1, expressed on dendritic cells and antigen-presenting cells (APCs), monocytes, macrophages, and granulocytes; and SIRP</w:t>
      </w:r>
      <w:r>
        <w:rPr>
          <w:rFonts w:ascii="SYMBOL" w:hAnsi="SYMBOL"/>
          <w:sz w:val="19"/>
        </w:rPr>
        <w:t>g</w:t>
      </w:r>
      <w:r>
        <w:rPr>
          <w:rFonts w:ascii="Arial" w:hAnsi="Arial"/>
          <w:sz w:val="19"/>
        </w:rPr>
        <w:t xml:space="preserve">, expressed predominantly on T cells, as shown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9295" cy="13150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9295" cy="13150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Our Distinct Approach to Precision SIRP-Targeted Cell Depletion </w:t>
      </w:r>
    </w:p>
    <w:p>
      <w:pPr>
        <w:pStyle w:val="TextBody"/>
        <w:bidi w:val="0"/>
        <w:spacing w:before="40" w:after="0"/>
        <w:jc w:val="left"/>
        <w:rPr>
          <w:rFonts w:ascii="Arial" w:hAnsi="Arial"/>
          <w:sz w:val="19"/>
        </w:rPr>
      </w:pPr>
      <w:r>
        <w:rPr>
          <w:rFonts w:ascii="Arial" w:hAnsi="Arial"/>
          <w:sz w:val="19"/>
        </w:rPr>
        <w:t>Historically, drug development involving SIRP has focused primarily on disrupting the CD47-SIRP</w:t>
      </w:r>
      <w:r>
        <w:rPr>
          <w:rFonts w:ascii="SYMBOL" w:hAnsi="SYMBOL"/>
          <w:sz w:val="19"/>
        </w:rPr>
        <w:t>a</w:t>
      </w:r>
      <w:r>
        <w:rPr>
          <w:rFonts w:ascii="Arial" w:hAnsi="Arial"/>
          <w:sz w:val="19"/>
        </w:rPr>
        <w:t xml:space="preserve"> interaction, an innate immune checkpoint commonly referred to as a “don’t eat me” signaling pathway that may be exploited by cancer cells to evade immune surveillance. These approaches have largely been pursued in oncology indications and, to date, have demonstrated limited monotherapy activity and encountered clinical development challenges. </w:t>
      </w:r>
    </w:p>
    <w:p>
      <w:pPr>
        <w:pStyle w:val="TextBody"/>
        <w:bidi w:val="0"/>
        <w:spacing w:before="180" w:after="0"/>
        <w:jc w:val="left"/>
        <w:rPr>
          <w:rFonts w:ascii="Arial" w:hAnsi="Arial"/>
          <w:sz w:val="19"/>
        </w:rPr>
      </w:pPr>
      <w:r>
        <w:rPr>
          <w:rFonts w:ascii="Arial" w:hAnsi="Arial"/>
          <w:sz w:val="19"/>
        </w:rPr>
        <w:t>Our approach differs fundamentally from these prior efforts. Rather than disrupting the CD47-SIRP</w:t>
      </w:r>
      <w:r>
        <w:rPr>
          <w:rFonts w:ascii="SYMBOL" w:hAnsi="SYMBOL"/>
          <w:sz w:val="19"/>
        </w:rPr>
        <w:t>a</w:t>
      </w:r>
      <w:r>
        <w:rPr>
          <w:rFonts w:ascii="Arial" w:hAnsi="Arial"/>
          <w:sz w:val="19"/>
        </w:rPr>
        <w:t xml:space="preserve"> signaling, we seek to preserve this pathway to maintain immune surveillance while leveraging the lineage-restricted and activation-dependent expression pattern of SIRP to selectively deplete activated pathogenic cells. </w:t>
      </w:r>
    </w:p>
    <w:p>
      <w:pPr>
        <w:pStyle w:val="TextBody"/>
        <w:bidi w:val="0"/>
        <w:spacing w:before="180" w:after="0"/>
        <w:jc w:val="left"/>
        <w:rPr>
          <w:rFonts w:ascii="Arial" w:hAnsi="Arial"/>
          <w:sz w:val="19"/>
        </w:rPr>
      </w:pPr>
      <w:r>
        <w:rPr>
          <w:rFonts w:ascii="Arial" w:hAnsi="Arial"/>
          <w:sz w:val="19"/>
        </w:rPr>
        <w:t>Our antibodies are designed to selectively bind SIRP-expressing cells without blocking or otherwise modulating CD47-SIRP</w:t>
      </w:r>
      <w:r>
        <w:rPr>
          <w:rFonts w:ascii="SYMBOL" w:hAnsi="SYMBOL"/>
          <w:sz w:val="19"/>
        </w:rPr>
        <w:t>a</w:t>
      </w:r>
      <w:r>
        <w:rPr>
          <w:rFonts w:ascii="Arial" w:hAnsi="Arial"/>
          <w:sz w:val="19"/>
        </w:rPr>
        <w:t xml:space="preserve"> signaling. Our approach is to mediate therapeutic activity through antibody-mediated elimination of the bound cell, achieved through antibody-dependent cellular cytotoxicity (ADCC) and antibody-dependent cellular phagocytosis (ADCP), resulting in elimination of the targeted pathogenic cell. Selectivity is enabled by differential SIRP expression between activated cells and naïve or regulatory immune cell populations. To our knowledge, we are the first company to advance this SIRP-targeted precision immune cell depletion approach into clinical development and demonstrate proof-of-concept in humans. </w:t>
      </w:r>
    </w:p>
    <w:p>
      <w:pPr>
        <w:pStyle w:val="TextBody"/>
        <w:bidi w:val="0"/>
        <w:spacing w:before="240" w:after="0"/>
        <w:jc w:val="left"/>
        <w:rPr>
          <w:rFonts w:ascii="Arial" w:hAnsi="Arial"/>
          <w:b/>
          <w:sz w:val="20"/>
        </w:rPr>
      </w:pPr>
      <w:r>
        <w:rPr>
          <w:rFonts w:ascii="Arial" w:hAnsi="Arial"/>
          <w:b/>
          <w:sz w:val="20"/>
        </w:rPr>
        <w:t xml:space="preserve">Our Strengths and Capabilities </w:t>
      </w:r>
    </w:p>
    <w:p>
      <w:pPr>
        <w:pStyle w:val="TextBody"/>
        <w:bidi w:val="0"/>
        <w:spacing w:before="80" w:after="0"/>
        <w:jc w:val="left"/>
        <w:rPr>
          <w:rFonts w:ascii="Arial" w:hAnsi="Arial"/>
          <w:sz w:val="19"/>
        </w:rPr>
      </w:pPr>
      <w:r>
        <w:rPr>
          <w:rFonts w:ascii="Arial" w:hAnsi="Arial"/>
          <w:sz w:val="19"/>
        </w:rPr>
        <w:t xml:space="preserve">We have built differentiated capabilities spanning SIRP-targeted antibody discovery and the underlying SIRP biology, resulting in our current pipeline. Together, we believe the following factors will enable us to achieve our goal of developing, commercializing, and maximizing the impact of precision immune cell depletion therapies across multiple disease areas: </w:t>
      </w:r>
    </w:p>
    <w:p>
      <w:pPr>
        <w:pStyle w:val="TextBody"/>
        <w:bidi w:val="0"/>
        <w:spacing w:before="80" w:after="0"/>
        <w:jc w:val="left"/>
        <w:rPr>
          <w:rFonts w:ascii="Arial" w:hAnsi="Arial"/>
          <w:b/>
          <w:i/>
          <w:sz w:val="19"/>
        </w:rPr>
      </w:pPr>
      <w:r>
        <w:rPr>
          <w:rFonts w:ascii="Arial" w:hAnsi="Arial"/>
          <w:b/>
          <w:i/>
          <w:sz w:val="19"/>
        </w:rPr>
        <w:t xml:space="preserve">Proprietary and Expansive SIRP-Targeted Antibody Library with Broad Therapeutic Optionality </w:t>
      </w:r>
    </w:p>
    <w:p>
      <w:pPr>
        <w:pStyle w:val="TextBody"/>
        <w:bidi w:val="0"/>
        <w:spacing w:before="40" w:after="0"/>
        <w:jc w:val="left"/>
        <w:rPr>
          <w:rFonts w:ascii="Arial" w:hAnsi="Arial"/>
          <w:sz w:val="19"/>
        </w:rPr>
      </w:pPr>
      <w:r>
        <w:rPr>
          <w:rFonts w:ascii="Arial" w:hAnsi="Arial"/>
          <w:sz w:val="19"/>
        </w:rPr>
        <w:t xml:space="preserve">We have generated a proprietary library of antibodies targeting members of the SIRP family through years of dedicated discovery efforts. This novel portfolio includes antibodies spanning a broad range of therapeutically relevant binding profiles, including pan-SIRP binders, selective binders targeting individual SIRP family members, and antibodies with differentiated epitope specificity, affinity, and effector-function characteristics. </w:t>
      </w:r>
    </w:p>
    <w:p>
      <w:pPr>
        <w:pStyle w:val="TextBody"/>
        <w:bidi w:val="0"/>
        <w:spacing w:before="180" w:after="0"/>
        <w:jc w:val="left"/>
        <w:rPr>
          <w:rFonts w:ascii="Arial" w:hAnsi="Arial"/>
          <w:sz w:val="19"/>
        </w:rPr>
      </w:pPr>
      <w:r>
        <w:rPr>
          <w:rFonts w:ascii="Arial" w:hAnsi="Arial"/>
          <w:sz w:val="19"/>
        </w:rPr>
        <w:t>Because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share substantial structural homology, selective targeting of individual SIRP family members has historically been challenging. Our discovery platform has produced antibodies with defined and differentiated binding characteristics, ranging from pan-SIRP engagement to highly specific SIRP</w:t>
      </w:r>
      <w:r>
        <w:rPr>
          <w:rFonts w:ascii="SYMBOL" w:hAnsi="SYMBOL"/>
          <w:sz w:val="19"/>
        </w:rPr>
        <w:t>a</w:t>
      </w:r>
      <w:r>
        <w:rPr>
          <w:rFonts w:ascii="Arial" w:hAnsi="Arial"/>
          <w:sz w:val="19"/>
        </w:rPr>
        <w:t>/SIRPß1 or SIRP</w:t>
      </w:r>
      <w:r>
        <w:rPr>
          <w:rFonts w:ascii="SYMBOL" w:hAnsi="SYMBOL"/>
          <w:sz w:val="19"/>
        </w:rPr>
        <w:t>g</w:t>
      </w:r>
      <w:r>
        <w:rPr>
          <w:rFonts w:ascii="Arial" w:hAnsi="Arial"/>
          <w:sz w:val="19"/>
        </w:rPr>
        <w:t xml:space="preserve"> targeting. </w:t>
      </w:r>
    </w:p>
    <w:p>
      <w:pPr>
        <w:pStyle w:val="TextBody"/>
        <w:bidi w:val="0"/>
        <w:spacing w:before="180" w:after="0"/>
        <w:jc w:val="left"/>
        <w:rPr>
          <w:rFonts w:ascii="Arial" w:hAnsi="Arial"/>
          <w:sz w:val="19"/>
        </w:rPr>
      </w:pPr>
      <w:r>
        <w:rPr>
          <w:rFonts w:ascii="Arial" w:hAnsi="Arial"/>
          <w:sz w:val="19"/>
        </w:rPr>
        <w:t xml:space="preserve">We believe this library provides substantial flexibility to align antibody design with the cellular biology and therapeutic objectives of each program while creating barriers to entry based on proprietary know-how and intellectual property. We also believe it positions us to expand into additional indications involving pathogenic SIRP-expressing cells without requiring additional </w:t>
      </w:r>
      <w:r>
        <w:rPr>
          <w:rFonts w:ascii="Arial" w:hAnsi="Arial"/>
          <w:i/>
          <w:sz w:val="19"/>
        </w:rPr>
        <w:t>de novo</w:t>
      </w:r>
      <w:r>
        <w:rPr>
          <w:rFonts w:ascii="Arial" w:hAnsi="Arial"/>
          <w:sz w:val="19"/>
        </w:rPr>
        <w:t xml:space="preserve"> antibody discovery efforts. </w:t>
      </w:r>
    </w:p>
    <w:p>
      <w:pPr>
        <w:pStyle w:val="TextBody"/>
        <w:bidi w:val="0"/>
        <w:spacing w:before="80" w:after="0"/>
        <w:jc w:val="left"/>
        <w:rPr>
          <w:rFonts w:ascii="Arial" w:hAnsi="Arial"/>
          <w:b/>
          <w:i/>
          <w:sz w:val="19"/>
        </w:rPr>
      </w:pPr>
      <w:r>
        <w:rPr>
          <w:rFonts w:ascii="Arial" w:hAnsi="Arial"/>
          <w:b/>
          <w:i/>
          <w:sz w:val="19"/>
        </w:rPr>
        <w:t xml:space="preserve">Deep Knowledge and Expertise in SIRP Biology </w:t>
      </w:r>
    </w:p>
    <w:p>
      <w:pPr>
        <w:pStyle w:val="TextBody"/>
        <w:bidi w:val="0"/>
        <w:spacing w:before="40" w:after="0"/>
        <w:jc w:val="left"/>
        <w:rPr>
          <w:rFonts w:ascii="Arial" w:hAnsi="Arial"/>
          <w:sz w:val="19"/>
        </w:rPr>
      </w:pPr>
      <w:r>
        <w:rPr>
          <w:rFonts w:ascii="Arial" w:hAnsi="Arial"/>
          <w:sz w:val="19"/>
        </w:rPr>
        <w:t xml:space="preserve">We have developed significant expertise in the biology of SIRP expression across activated immune cell populations and its potential application in precision immune cell depletion. Our work has characterized differential SIRP expression across myeloid cell and T cell subsets, which we believe can enable selective targeting of pathogenic cells while preserving immune populations important for normal immune function. </w:t>
      </w:r>
    </w:p>
    <w:p>
      <w:pPr>
        <w:pStyle w:val="TextBody"/>
        <w:bidi w:val="0"/>
        <w:spacing w:before="180" w:after="0"/>
        <w:jc w:val="left"/>
        <w:rPr>
          <w:rFonts w:ascii="Arial" w:hAnsi="Arial"/>
          <w:sz w:val="19"/>
        </w:rPr>
      </w:pPr>
      <w:r>
        <w:rPr>
          <w:rFonts w:ascii="Arial" w:hAnsi="Arial"/>
          <w:sz w:val="19"/>
        </w:rPr>
        <w:t xml:space="preserve">We have evaluated SIRP expression patterns relative to other immune cell markers used in targeted depletion approaches and believe SIRP expression may provide distinct therapeutic advantages in certain disease settings due to its activation-dependent characteristics. </w:t>
      </w:r>
    </w:p>
    <w:p>
      <w:pPr>
        <w:pStyle w:val="TextBody"/>
        <w:bidi w:val="0"/>
        <w:spacing w:before="180" w:after="0"/>
        <w:jc w:val="left"/>
        <w:rPr>
          <w:rFonts w:ascii="Arial" w:hAnsi="Arial"/>
          <w:sz w:val="19"/>
        </w:rPr>
      </w:pPr>
      <w:r>
        <w:rPr>
          <w:rFonts w:ascii="Arial" w:hAnsi="Arial"/>
          <w:sz w:val="19"/>
        </w:rPr>
        <w:t>In addition, because SIRP</w:t>
      </w:r>
      <w:r>
        <w:rPr>
          <w:rFonts w:ascii="SYMBOL" w:hAnsi="SYMBOL"/>
          <w:sz w:val="19"/>
        </w:rPr>
        <w:t>g</w:t>
      </w:r>
      <w:r>
        <w:rPr>
          <w:rFonts w:ascii="Arial" w:hAnsi="Arial"/>
          <w:sz w:val="19"/>
        </w:rPr>
        <w:t xml:space="preserve"> is expressed only in primates and lacks a murine ortholog, preclinical characterization of SIRP</w:t>
      </w:r>
      <w:r>
        <w:rPr>
          <w:rFonts w:ascii="SYMBOL" w:hAnsi="SYMBOL"/>
          <w:sz w:val="19"/>
        </w:rPr>
        <w:t>g</w:t>
      </w:r>
      <w:r>
        <w:rPr>
          <w:rFonts w:ascii="Arial" w:hAnsi="Arial"/>
          <w:sz w:val="19"/>
        </w:rPr>
        <w:t xml:space="preserve">-targeted therapies has historically been limited. To address this limitation, we have developed humanized </w:t>
      </w:r>
      <w:r>
        <w:rPr>
          <w:rFonts w:ascii="Arial" w:hAnsi="Arial"/>
          <w:i/>
          <w:sz w:val="19"/>
        </w:rPr>
        <w:t>in vitro</w:t>
      </w:r>
      <w:r>
        <w:rPr>
          <w:rFonts w:ascii="Arial" w:hAnsi="Arial"/>
          <w:sz w:val="19"/>
        </w:rPr>
        <w:t xml:space="preserve"> and </w:t>
      </w:r>
      <w:r>
        <w:rPr>
          <w:rFonts w:ascii="Arial" w:hAnsi="Arial"/>
          <w:i/>
          <w:sz w:val="19"/>
        </w:rPr>
        <w:t>in vivo</w:t>
      </w:r>
      <w:r>
        <w:rPr>
          <w:rFonts w:ascii="Arial" w:hAnsi="Arial"/>
          <w:sz w:val="19"/>
        </w:rPr>
        <w:t xml:space="preserve"> systems designed to evaluate SIRP</w:t>
      </w:r>
      <w:r>
        <w:rPr>
          <w:rFonts w:ascii="SYMBOL" w:hAnsi="SYMBOL"/>
          <w:sz w:val="19"/>
        </w:rPr>
        <w:t>g</w:t>
      </w:r>
      <w:r>
        <w:rPr>
          <w:rFonts w:ascii="Arial" w:hAnsi="Arial"/>
          <w:sz w:val="19"/>
        </w:rPr>
        <w:t xml:space="preserve"> engagement, depletion kinetics, and downstream effects on T cell biology in translationally relevant settings. </w:t>
      </w:r>
    </w:p>
    <w:p>
      <w:pPr>
        <w:pStyle w:val="TextBody"/>
        <w:bidi w:val="0"/>
        <w:spacing w:before="180" w:after="0"/>
        <w:jc w:val="left"/>
        <w:rPr>
          <w:rFonts w:ascii="Arial" w:hAnsi="Arial"/>
          <w:sz w:val="19"/>
        </w:rPr>
      </w:pPr>
      <w:r>
        <w:rPr>
          <w:rFonts w:ascii="Arial" w:hAnsi="Arial"/>
          <w:sz w:val="19"/>
        </w:rPr>
        <w:t xml:space="preserve">We are applying these capabilities across both our product candidates and earlier-stage discovery programs and believe they provide a differentiated foundation for the continued development of precision SIRP-targeted therapies.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Proven Track Record of Drug Development and Commercialization in Immunology, Hematology and Oncology </w:t>
      </w:r>
    </w:p>
    <w:p>
      <w:pPr>
        <w:pStyle w:val="TextBody"/>
        <w:bidi w:val="0"/>
        <w:spacing w:before="40" w:after="0"/>
        <w:jc w:val="left"/>
        <w:rPr>
          <w:rFonts w:ascii="Arial" w:hAnsi="Arial"/>
          <w:sz w:val="19"/>
        </w:rPr>
      </w:pPr>
      <w:r>
        <w:rPr>
          <w:rFonts w:ascii="Arial" w:hAnsi="Arial"/>
          <w:sz w:val="19"/>
        </w:rPr>
        <w:t xml:space="preserve">We have assembled a seasoned leadership team with deep experience advancing novel mechanisms of action and first-in-class medicines from discovery through clinical development and commercial launch across the immunology, hematology, and oncology therapeutic settings that define our pipeline. Collectively, members of our team have contributed to the approval and commercialization of more than five first-in-class therapies that established new treatment paradigms for diseases with significant unmet need, as well as therapies that became among some of the most commercially successful product launches in the history of the pharmaceutical industry. Together, our experience spans translational science, clinical development, technical operations, biologics manufacturing, and commercial operations, which we believe provides us with the capabilities to advance innovative scientific concepts into therapies with meaningful patient impact and commercial potential. </w:t>
      </w:r>
    </w:p>
    <w:p>
      <w:pPr>
        <w:pStyle w:val="TextBody"/>
        <w:bidi w:val="0"/>
        <w:spacing w:before="80" w:after="0"/>
        <w:jc w:val="left"/>
        <w:rPr>
          <w:rFonts w:ascii="Arial" w:hAnsi="Arial"/>
          <w:b/>
          <w:i/>
          <w:sz w:val="19"/>
        </w:rPr>
      </w:pPr>
      <w:r>
        <w:rPr>
          <w:rFonts w:ascii="Arial" w:hAnsi="Arial"/>
          <w:b/>
          <w:i/>
          <w:sz w:val="19"/>
        </w:rPr>
        <w:t xml:space="preserve">Disciplined Research and Development Strategy and Efficient Execution for Advancing Novel Therapies </w:t>
      </w:r>
    </w:p>
    <w:p>
      <w:pPr>
        <w:pStyle w:val="TextBody"/>
        <w:bidi w:val="0"/>
        <w:spacing w:before="40" w:after="0"/>
        <w:jc w:val="left"/>
        <w:rPr>
          <w:rFonts w:ascii="Arial" w:hAnsi="Arial"/>
          <w:sz w:val="19"/>
        </w:rPr>
      </w:pPr>
      <w:r>
        <w:rPr>
          <w:rFonts w:ascii="Arial" w:hAnsi="Arial"/>
          <w:sz w:val="19"/>
        </w:rPr>
        <w:t xml:space="preserve">Our development strategy focuses on identifying targets and mechanisms with the potential to address underlying pathology across multiple diseases. Rather than pursuing targets applicable primarily to a single indication, we seek to connect target biology to disease pathology in order to prioritize indications with strong mechanistic rationale. Both of our product candidates are designed to address multiple immunology and oncology indications, with applicability determined by the specific immune cell population driving disease pathophysiology. </w:t>
      </w:r>
    </w:p>
    <w:p>
      <w:pPr>
        <w:pStyle w:val="TextBody"/>
        <w:bidi w:val="0"/>
        <w:spacing w:before="180" w:after="0"/>
        <w:jc w:val="left"/>
        <w:rPr>
          <w:rFonts w:ascii="Arial" w:hAnsi="Arial"/>
          <w:sz w:val="19"/>
        </w:rPr>
      </w:pPr>
      <w:r>
        <w:rPr>
          <w:rFonts w:ascii="Arial" w:hAnsi="Arial"/>
          <w:sz w:val="19"/>
        </w:rPr>
        <w:t xml:space="preserve">In addition, we prioritize opportunities with significant unmet need where meaningful clinical impact could translate into substantial commercial opportunity, such as our lead program in sHLH, where there are no broadly approved therapies and outcomes remain poor. </w:t>
      </w:r>
    </w:p>
    <w:p>
      <w:pPr>
        <w:pStyle w:val="TextBody"/>
        <w:bidi w:val="0"/>
        <w:spacing w:before="180" w:after="0"/>
        <w:jc w:val="left"/>
        <w:rPr>
          <w:rFonts w:ascii="Arial" w:hAnsi="Arial"/>
          <w:sz w:val="19"/>
        </w:rPr>
      </w:pPr>
      <w:r>
        <w:rPr>
          <w:rFonts w:ascii="Arial" w:hAnsi="Arial"/>
          <w:sz w:val="19"/>
        </w:rPr>
        <w:t xml:space="preserve">Our approach emphasizes rigorous translational evaluation and focused clinical execution in order to achieve clinical validation early in the program. In certain cases, this includes pursuing indications with limited development precedent or no approved therapies, which may require novel clinical and regulatory strategies, such as the use of external control comparator data from our COMPASS natural history study to support the registrational program. </w:t>
      </w:r>
    </w:p>
    <w:p>
      <w:pPr>
        <w:pStyle w:val="TextBody"/>
        <w:bidi w:val="0"/>
        <w:spacing w:before="180" w:after="0"/>
        <w:jc w:val="left"/>
        <w:rPr>
          <w:rFonts w:ascii="Arial" w:hAnsi="Arial"/>
          <w:sz w:val="19"/>
        </w:rPr>
      </w:pPr>
      <w:r>
        <w:rPr>
          <w:rFonts w:ascii="Arial" w:hAnsi="Arial"/>
          <w:sz w:val="19"/>
        </w:rPr>
        <w:t xml:space="preserve">Since our founding in 2018, we have used this development strategy to progress ipsoprubart from an initial scientific concept to a novel product candidate to the commencement of a global registrational program and expansion into additional indications. We next advanced ELA822, another novel product candidate for immune-mediated diseases, to CTA approval and plan to initiate a Phase 1 clinical trial of ELA822 in healthy volunteers in Europe. We have activated our clinical trial site, and we expect initial data in     . </w:t>
      </w:r>
    </w:p>
    <w:p>
      <w:pPr>
        <w:pStyle w:val="TextBody"/>
        <w:bidi w:val="0"/>
        <w:spacing w:before="240" w:after="0"/>
        <w:jc w:val="left"/>
        <w:rPr>
          <w:rFonts w:ascii="Arial" w:hAnsi="Arial"/>
          <w:b/>
          <w:sz w:val="20"/>
        </w:rPr>
      </w:pPr>
      <w:r>
        <w:rPr>
          <w:rFonts w:ascii="Arial" w:hAnsi="Arial"/>
          <w:b/>
          <w:sz w:val="20"/>
        </w:rPr>
        <w:t xml:space="preserve">Our Strategy </w:t>
      </w:r>
    </w:p>
    <w:p>
      <w:pPr>
        <w:pStyle w:val="TextBody"/>
        <w:bidi w:val="0"/>
        <w:spacing w:before="80" w:after="0"/>
        <w:jc w:val="left"/>
        <w:rPr>
          <w:rFonts w:ascii="Arial" w:hAnsi="Arial"/>
          <w:sz w:val="19"/>
        </w:rPr>
      </w:pPr>
      <w:r>
        <w:rPr>
          <w:rFonts w:ascii="Arial" w:hAnsi="Arial"/>
          <w:sz w:val="19"/>
        </w:rPr>
        <w:t xml:space="preserve">Our goal is to become a leading company in precision immune cell depletion with first-in-class or best-in-class SIRP-targeted therapies designed to transform treatment for patients with immune-mediated diseases and cancer. To achieve this goal, we intend to pursue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Advance ipsoprubart through our registrational program as a novel treatment for patients with sHLH.</w:t>
            </w:r>
            <w:r>
              <w:rPr>
                <w:rFonts w:ascii="Arial" w:hAnsi="Arial"/>
                <w:sz w:val="19"/>
              </w:rPr>
              <w:t xml:space="preserve"> sHLH is a rare, rapidly progressive hyperinflammatory disease with diagnosed incidence of approximately 12,600 in the United States in 2025, growing at an estimated 11.5% compound annual growth rate from 2021 through 2025. There are no approved therapies for sHLH broadly, and historical 2-month OS rates with existing treatments are approximately 50%. In our Phase 1b trial, ipsoprubart was generally well tolerated and demonstrated a 100% 8-week OS rate in 12 frontline patients with mHLH, as well as a 100% ORR and a 100% hospital-discharge rate in all 11 patients evaluable for discharge (one patient withdrew prior to discharge assessment). Ipsoprubart has received BTD from the FDA and PRIME designation from the EMA, in each case for sHLH broadly. We are conducting SURPASS, our global Phase 2/3 registrational trial in newly diagnosed, treatment-naïve sHLH patients, as well as COMPASS, our natural history study designed to provide an external control comparator for SURPASS. We expect topline data in     . Subject to positive results, we plan to pursue regulatory approval that may position ipsoprubart as the first therapy approved for sHLH broadly.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Expand the therapeutic application of ipsoprubart across hematologic malignancies and other inflammatory indications.</w:t>
            </w:r>
            <w:r>
              <w:rPr>
                <w:rFonts w:ascii="Arial" w:hAnsi="Arial"/>
                <w:sz w:val="19"/>
              </w:rPr>
              <w:t xml:space="preserve"> We believe the mechanism underlying ipsoprubart’s activity seen in sHLH, targeting activated myeloid cells and T cells, may have broad applicability across T and B cell malignancies, severe cytokine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1"/>
        <w:gridCol w:w="9394"/>
      </w:tblGrid>
      <w:tr>
        <w:trPr/>
        <w:tc>
          <w:tcPr>
            <w:tcW w:w="811" w:type="dxa"/>
            <w:tcBorders/>
            <w:vAlign w:val="center"/>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Arial" w:hAnsi="Arial"/>
                <w:sz w:val="19"/>
              </w:rPr>
            </w:pPr>
            <w:r>
              <w:rPr>
                <w:rFonts w:ascii="Arial" w:hAnsi="Arial"/>
                <w:sz w:val="19"/>
              </w:rPr>
              <w:t xml:space="preserve">release syndrome associated with immunotherapies, and other hyperinflammatory syndromes. Across our Phase 1b trial and Expanded Access Program, eight sHLH patients with underlying T or B cell lymphomas achieved both an overall response in sHLH and a 100% objective tumor response. Seven of the eight patients achieved a CR within weeks of ipsoprubart treatment, with or without concurrent standard of care (SOC) therapy for the underlying malignancy. We are conducting a Phase 1 clinical trial evaluating ipsoprubart as monotherapy in relapsed/refractory T and NK cell malignancies, with initial data expected in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Build a focused and capital-efficient commercial organization, initially centered on ipsoprubart.</w:t>
            </w:r>
            <w:r>
              <w:rPr>
                <w:rFonts w:ascii="Arial" w:hAnsi="Arial"/>
                <w:sz w:val="19"/>
              </w:rPr>
              <w:t xml:space="preserve"> Patients with sHLH are primarily treated by hematologist-oncologists, with approximately 64% of patients in the United States managed at academic medical centers. We believe this highly concentrated prescriber base supports an efficient commercial model for ipsoprubart. If approved, we intend to commercialize ipsoprubart independently in the United States through a focused commercial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Advance ELA822 and demonstrate proof-of-concept in clinical trials for chronic T cell-mediated immune and inflammatory diseases.</w:t>
            </w:r>
            <w:r>
              <w:rPr>
                <w:rFonts w:ascii="Arial" w:hAnsi="Arial"/>
                <w:sz w:val="19"/>
              </w:rPr>
              <w:t xml:space="preserve"> ELA822 is designed to selectively bind SIRP</w:t>
            </w:r>
            <w:r>
              <w:rPr>
                <w:rFonts w:ascii="SYMBOL" w:hAnsi="SYMBOL"/>
                <w:sz w:val="19"/>
              </w:rPr>
              <w:t>g</w:t>
            </w:r>
            <w:r>
              <w:rPr>
                <w:rFonts w:ascii="Arial" w:hAnsi="Arial"/>
                <w:sz w:val="19"/>
              </w:rPr>
              <w:t xml:space="preserve"> and deplete activated pathogenic T cells, while sparing naïve and regulatory T cells as well as myeloid cells. We believe this target profile may be well suited for chronic diseases in which long-term tolerability and efficacy are important therapeutic considerations. Nonclinical data generated to date for ELA822 have demonstrated selective depletion of activated T cells, </w:t>
            </w:r>
            <w:r>
              <w:rPr>
                <w:rFonts w:ascii="Arial" w:hAnsi="Arial"/>
                <w:i/>
                <w:sz w:val="19"/>
              </w:rPr>
              <w:t>in vivo</w:t>
            </w:r>
            <w:r>
              <w:rPr>
                <w:rFonts w:ascii="Arial" w:hAnsi="Arial"/>
                <w:sz w:val="19"/>
              </w:rPr>
              <w:t xml:space="preserve"> activity in humanized models of T cell-driven disease, subcutaneous bioavailability supportive of convenient dosing, and was well tolerated in NHP studies. In August 2026, we obtained regulatory clearance to initiate a Phase 1 clinical trial of ELA822 in healthy volunteers in Europe. We have activated our clinical trial site, and we expect initial data in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b/>
                <w:sz w:val="19"/>
              </w:rPr>
              <w:t>Expand our pipeline in SIRP-targeted precision immunology and oncology.</w:t>
            </w:r>
            <w:r>
              <w:rPr>
                <w:rFonts w:ascii="Arial" w:hAnsi="Arial"/>
                <w:sz w:val="19"/>
              </w:rPr>
              <w:t xml:space="preserve"> Supported by our proprietary library of SIRP-targeted antibodies and expertise in SIRP biology, we intend to broaden the therapeutic application of our product candidates and expand our pipeline with additional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Selectively explore value-creating strategic collaborations to maximize the value of our programs.</w:t>
            </w:r>
            <w:r>
              <w:rPr>
                <w:rFonts w:ascii="Arial" w:hAnsi="Arial"/>
                <w:sz w:val="19"/>
              </w:rPr>
              <w:t xml:space="preserve"> We intend to selectively explore strategic collaborations where we believe partner capabilities can enhance the development, manufacturing, and commercialization potential of our product candidates. Accordingly, we may enter into collaborations that provide access to complementary expertise, expand the reach of our approach, accelerate development timelines, and strengthen our capital resources, while allowing us to retain meaningful participation in the long-term value creation of our programs. </w:t>
            </w:r>
          </w:p>
        </w:tc>
      </w:tr>
    </w:tbl>
    <w:p>
      <w:pPr>
        <w:pStyle w:val="TextBody"/>
        <w:bidi w:val="0"/>
        <w:spacing w:before="240" w:after="0"/>
        <w:jc w:val="left"/>
        <w:rPr>
          <w:rFonts w:ascii="Arial" w:hAnsi="Arial"/>
          <w:b/>
          <w:sz w:val="20"/>
        </w:rPr>
      </w:pPr>
      <w:r>
        <w:rPr>
          <w:rFonts w:ascii="Arial" w:hAnsi="Arial"/>
          <w:b/>
          <w:sz w:val="20"/>
        </w:rPr>
        <w:t xml:space="preserve">Our Team and Investors </w:t>
      </w:r>
    </w:p>
    <w:p>
      <w:pPr>
        <w:pStyle w:val="TextBody"/>
        <w:bidi w:val="0"/>
        <w:spacing w:before="80" w:after="0"/>
        <w:jc w:val="left"/>
        <w:rPr>
          <w:rFonts w:ascii="Arial" w:hAnsi="Arial"/>
          <w:sz w:val="19"/>
        </w:rPr>
      </w:pPr>
      <w:r>
        <w:rPr>
          <w:rFonts w:ascii="Arial" w:hAnsi="Arial"/>
          <w:sz w:val="19"/>
        </w:rPr>
        <w:t xml:space="preserve">Our seasoned leadership team brings complementary expertise across all stages of drug development, spanning immunology, hematology, and oncology therapeutic areas. Collectively, members of our leadership team have contributed to the development and commercialization of more than five first-in-class therapies with track records at organizations including Star Therapeutics, True North Therapeutics, Sanofi, Gilead Sciences, Novartis, and Genentech. Our combined experience exemplifies our demonstrated ability to translate novel biological insights into therapeutic candidates and advance them from discovery to commercialization.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b/>
                <w:sz w:val="19"/>
              </w:rPr>
              <w:t>Kathy Dong, Pharm.D., M.B.A.</w:t>
            </w:r>
            <w:r>
              <w:rPr>
                <w:rFonts w:ascii="Arial" w:hAnsi="Arial"/>
                <w:sz w:val="19"/>
              </w:rPr>
              <w:t xml:space="preserve">, </w:t>
            </w:r>
            <w:r>
              <w:rPr>
                <w:rFonts w:ascii="Arial" w:hAnsi="Arial"/>
                <w:b/>
                <w:sz w:val="19"/>
              </w:rPr>
              <w:t>President and Chief Executive Officer.</w:t>
            </w:r>
            <w:r>
              <w:rPr>
                <w:rFonts w:ascii="Arial" w:hAnsi="Arial"/>
                <w:sz w:val="19"/>
              </w:rPr>
              <w:t xml:space="preserve"> Dr. Dong has more than two decades of experience spanning corporate development, operational leadership, portfolio management, and commercialization. Prior to joining Electra, she supported the advancement of programs from discovery through clinical development in senior leadership roles at biotechnology companies focused on immunology and hematology, including Star Therapeutics and True North Therapeutics. Earlier in her career, she led the launch of multiple therapies, including SOVALDI and HARVONI at Gilead Sciences.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Kim-Hien Dao, D.O., Ph.D</w:t>
            </w:r>
            <w:r>
              <w:rPr>
                <w:rFonts w:ascii="Arial" w:hAnsi="Arial"/>
                <w:sz w:val="19"/>
              </w:rPr>
              <w:t xml:space="preserve">., </w:t>
            </w:r>
            <w:r>
              <w:rPr>
                <w:rFonts w:ascii="Arial" w:hAnsi="Arial"/>
                <w:b/>
                <w:sz w:val="19"/>
              </w:rPr>
              <w:t>Chief Medical Officer.</w:t>
            </w:r>
            <w:r>
              <w:rPr>
                <w:rFonts w:ascii="Arial" w:hAnsi="Arial"/>
                <w:sz w:val="19"/>
              </w:rPr>
              <w:t xml:space="preserve"> Dr. Dao is a board-certified hematologist and clinician-scientist with broad experience spanning translational research, clinical medicine, and drug development in malignancies and hyperinflammatory diseases. Prior to joining Electra, she held leadership roles across academic medicine and biopharmaceutical organizations and most recently led clinical development of multiple programs at Astex Pharmaceuticals.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b/>
                <w:sz w:val="19"/>
              </w:rPr>
              <w:t>Graham Parry, Ph.D</w:t>
            </w:r>
            <w:r>
              <w:rPr>
                <w:rFonts w:ascii="Arial" w:hAnsi="Arial"/>
                <w:sz w:val="19"/>
              </w:rPr>
              <w:t xml:space="preserve">., </w:t>
            </w:r>
            <w:r>
              <w:rPr>
                <w:rFonts w:ascii="Arial" w:hAnsi="Arial"/>
                <w:b/>
                <w:sz w:val="19"/>
              </w:rPr>
              <w:t>Chief Scientific Officer.</w:t>
            </w:r>
            <w:r>
              <w:rPr>
                <w:rFonts w:ascii="Arial" w:hAnsi="Arial"/>
                <w:sz w:val="19"/>
              </w:rPr>
              <w:t xml:space="preserve"> Dr. Parry brings extensive experience in research and development across the biopharmaceutical industry and academia. His prior scientific leadership roles have included programs focused on inflammatory, hematologic, and neurodegenerative diseases and most recently served as Executive Vice President of Translational Sciences at Star Therapeutics.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b/>
                <w:sz w:val="19"/>
              </w:rPr>
              <w:t>Gary Koe, Ph.D</w:t>
            </w:r>
            <w:r>
              <w:rPr>
                <w:rFonts w:ascii="Arial" w:hAnsi="Arial"/>
                <w:sz w:val="19"/>
              </w:rPr>
              <w:t xml:space="preserve">., </w:t>
            </w:r>
            <w:r>
              <w:rPr>
                <w:rFonts w:ascii="Arial" w:hAnsi="Arial"/>
                <w:b/>
                <w:sz w:val="19"/>
              </w:rPr>
              <w:t>Chief Technical Officer.</w:t>
            </w:r>
            <w:r>
              <w:rPr>
                <w:rFonts w:ascii="Arial" w:hAnsi="Arial"/>
                <w:sz w:val="19"/>
              </w:rPr>
              <w:t xml:space="preserve"> Dr. Koe brings more than 30 years of experience and deep expertise in biologics chemistry, manufacturing and controls (CMC). In his prior roles, he led the scale-up, manufacturing, and quality control development of multiple biologic therapies and most recently served as Head of Technical Operations at Star Therapeutics and Aravive.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b/>
                <w:sz w:val="19"/>
              </w:rPr>
              <w:t>Chris Clark, C.F.A.</w:t>
            </w:r>
            <w:r>
              <w:rPr>
                <w:rFonts w:ascii="Arial" w:hAnsi="Arial"/>
                <w:sz w:val="19"/>
              </w:rPr>
              <w:t xml:space="preserve">, </w:t>
            </w:r>
            <w:r>
              <w:rPr>
                <w:rFonts w:ascii="Arial" w:hAnsi="Arial"/>
                <w:b/>
                <w:sz w:val="19"/>
              </w:rPr>
              <w:t>Chief Financial Officer.</w:t>
            </w:r>
            <w:r>
              <w:rPr>
                <w:rFonts w:ascii="Arial" w:hAnsi="Arial"/>
                <w:sz w:val="19"/>
              </w:rPr>
              <w:t xml:space="preserve"> Mr. Clark brings more than two decades of expertise in biopharmaceutical capital markets and corporate strategy. Prior to joining Electra, he was a Portfolio Manager at RS Investments, where he led biopharma investments across multiple fund strategies. Earlier in his career, he held roles at TIAA-CREF and Dresdner RCM. </w:t>
            </w:r>
          </w:p>
        </w:tc>
      </w:tr>
    </w:tbl>
    <w:p>
      <w:pPr>
        <w:pStyle w:val="TextBody"/>
        <w:bidi w:val="0"/>
        <w:spacing w:before="180" w:after="0"/>
        <w:jc w:val="left"/>
        <w:rPr>
          <w:rFonts w:ascii="Arial" w:hAnsi="Arial"/>
          <w:sz w:val="19"/>
        </w:rPr>
      </w:pPr>
      <w:r>
        <w:rPr>
          <w:rFonts w:ascii="Arial" w:hAnsi="Arial"/>
          <w:sz w:val="19"/>
        </w:rPr>
        <w:t xml:space="preserve">Since our inception, we have raised more than $300 million in equity capital from a syndicate of leading healthcare and life sciences investors. Potential investors should not consider investments made by our existing investors as a factor when making a decision to purchase shares in this offering, as our existing investors likely have different risk tolerances and paid significantly less per share than the price at which shares are being offered in this offering. </w:t>
      </w:r>
    </w:p>
    <w:p>
      <w:pPr>
        <w:pStyle w:val="TextBody"/>
        <w:bidi w:val="0"/>
        <w:spacing w:before="240" w:after="0"/>
        <w:jc w:val="left"/>
        <w:rPr>
          <w:rFonts w:ascii="Arial" w:hAnsi="Arial"/>
          <w:b/>
          <w:sz w:val="20"/>
        </w:rPr>
      </w:pPr>
      <w:r>
        <w:rPr>
          <w:rFonts w:ascii="Arial" w:hAnsi="Arial"/>
          <w:b/>
          <w:sz w:val="20"/>
        </w:rPr>
        <w:t xml:space="preserve">Ipsoprubart: Lead Product Candidate for the Treatment of sHLH </w:t>
      </w:r>
    </w:p>
    <w:p>
      <w:pPr>
        <w:pStyle w:val="TextBody"/>
        <w:bidi w:val="0"/>
        <w:spacing w:before="80" w:after="0"/>
        <w:jc w:val="left"/>
        <w:rPr>
          <w:rFonts w:ascii="Arial" w:hAnsi="Arial"/>
          <w:sz w:val="19"/>
        </w:rPr>
      </w:pPr>
      <w:r>
        <w:rPr>
          <w:rFonts w:ascii="Arial" w:hAnsi="Arial"/>
          <w:sz w:val="19"/>
        </w:rPr>
        <w:t xml:space="preserve">Ipsoprubart, our lead product candidate, is a novel pan-SIRP antibody engineered with an enhanced-effector Fc domain for rapid, potent depletion of pathogenic myeloid cells and T cells. We are developing ipsoprubart initially for sHLH, a severe hyperinflammatory syndrome with no broadly approved therapies and consistently poor survival over the past two decades. In mHLH, which accounts for approximately 45% of all sHLH cases and is associated with the poorest outcomes, historical 2-month OS rates with existing treatments are approximately 50%. Patients with sHLH are typically diagnosed and treated by hematologist-oncologists in both outpatient and inpatient settings. The diagnosed incidence in the United States reached approximately 12,600 in 2025, reflecting an 11.5% compound annual growth rate since 2021, and would reach nearly 17,500 in 2028 assuming a similar annual growth rate. We believe this estimate is conservative as it excludes misdiagnosed, undiagnosed, and non-ICD coded patients. As disease awareness increases, underlying triggering conditions become more prevalent, and diagnostic approaches become simpler, we believe diagnosed incidence will continue to rise. </w:t>
      </w:r>
    </w:p>
    <w:p>
      <w:pPr>
        <w:pStyle w:val="TextBody"/>
        <w:bidi w:val="0"/>
        <w:spacing w:before="180" w:after="0"/>
        <w:jc w:val="left"/>
        <w:rPr>
          <w:rFonts w:ascii="Arial" w:hAnsi="Arial"/>
          <w:sz w:val="19"/>
        </w:rPr>
      </w:pPr>
      <w:r>
        <w:rPr>
          <w:rFonts w:ascii="Arial" w:hAnsi="Arial"/>
          <w:sz w:val="19"/>
        </w:rPr>
        <w:t xml:space="preserve">In our completed Phase 1b trial, ipsoprubart was generally well tolerated and achieved 100% OS at 8 weeks in 12 frontline mHLH patients, alongside a 100% ORR, rapid improvement of key PD biomarkers, and a 100% hospital discharge rate in all 11 patients evaluable for discharge (one patient withdrew prior to discharge assessment). Additional clinical experience beyond mHLH supports the potential of ipsoprubart as a treatment for sHLH broadly. Based on these data, ipsoprubart received BTD from the FDA and PRIME designation from the EMA, each granted for the treatment of sHLH broadly. We initiated a global registrational program for ipsoprubart in sHLH consisting of SURPASS, a Phase 2/3 registrational trial, and COMPASS, our natural history study designed to provide an external control comparator for SURPASS, with topline data expected in    . </w:t>
      </w:r>
    </w:p>
    <w:p>
      <w:pPr>
        <w:pStyle w:val="TextBody"/>
        <w:bidi w:val="0"/>
        <w:spacing w:before="80" w:after="0"/>
        <w:jc w:val="left"/>
        <w:rPr>
          <w:rFonts w:ascii="Arial" w:hAnsi="Arial"/>
          <w:b/>
          <w:i/>
          <w:sz w:val="19"/>
        </w:rPr>
      </w:pPr>
      <w:r>
        <w:rPr>
          <w:rFonts w:ascii="Arial" w:hAnsi="Arial"/>
          <w:b/>
          <w:i/>
          <w:sz w:val="19"/>
        </w:rPr>
        <w:t xml:space="preserve">Overview of sHLH: A Rapidly Progressive Hyperinflammatory Syndrome with High Mortality and No Broadly Approved Therapies </w:t>
      </w:r>
    </w:p>
    <w:p>
      <w:pPr>
        <w:pStyle w:val="TextBody"/>
        <w:bidi w:val="0"/>
        <w:spacing w:before="40" w:after="0"/>
        <w:jc w:val="left"/>
        <w:rPr>
          <w:rFonts w:ascii="Arial" w:hAnsi="Arial"/>
          <w:sz w:val="19"/>
        </w:rPr>
      </w:pPr>
      <w:r>
        <w:rPr>
          <w:rFonts w:ascii="Arial" w:hAnsi="Arial"/>
          <w:sz w:val="19"/>
        </w:rPr>
        <w:t xml:space="preserve">HLH is a rare, life-threatening hyperinflammatory disease characterized by immune dysregulation leading to excessive cytokine release and rapid progression to multiorgan dysfunction. HLH is broadly categorized into two forms: primary HLH (pHLH), which is caused by inherited genetic mutations and typically diagnosed in infants and young children, and sHLH, which may be triggered by malignancy, infection, autoimmune disease, or immune-activating therapies that precipitate immune dysregulation in susceptible individuals. We estimate sHLH represents over 95% of HLH cases in the United States. </w:t>
      </w:r>
    </w:p>
    <w:p>
      <w:pPr>
        <w:pStyle w:val="TextBody"/>
        <w:bidi w:val="0"/>
        <w:spacing w:before="180" w:after="0"/>
        <w:jc w:val="left"/>
        <w:rPr>
          <w:rFonts w:ascii="Arial" w:hAnsi="Arial"/>
          <w:sz w:val="19"/>
        </w:rPr>
      </w:pPr>
      <w:r>
        <w:rPr>
          <w:rFonts w:ascii="Arial" w:hAnsi="Arial"/>
          <w:sz w:val="19"/>
        </w:rPr>
        <w:t xml:space="preserve">The pathophysiology of sHLH is characterized by failure to terminate activation and proliferation of T cells and macrophages following a strong antigenic stimulus. Rather than resolving, this immune activation spirals. Activated immune cells release inflammatory cytokines, creating a self-amplifying inflammatory cycle that can overwhelm the body’s ability to maintain immune homeostasis. Hemophagocytosis, or the engulfment of healthy red blood cells, white blood cells, and platelets by activated macrophages, is often a defining feature of the disease and is now understood to be one consequence of the broader immune dysregulation.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sHLH is considered a medical emergency as uncontrolled hyperinflammation can progress to multiorgan failure and death. sHLH may be triggered by a range of underlying conditions, generally grouped into the following subtypes: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mHLH, </w:t>
            </w:r>
            <w:r>
              <w:rPr>
                <w:rFonts w:ascii="Arial" w:hAnsi="Arial"/>
                <w:sz w:val="19"/>
              </w:rPr>
              <w:t xml:space="preserve">which accounts for approximately 45% of all sHLH cases. Lymphoma is the predominant malignancy trigger and is associated with the poorest outcomes among sHLH subtypes.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Infection-associated HLH (iHLH), </w:t>
            </w:r>
            <w:r>
              <w:rPr>
                <w:rFonts w:ascii="Arial" w:hAnsi="Arial"/>
                <w:sz w:val="19"/>
              </w:rPr>
              <w:t xml:space="preserve">which is triggered by various viral and intracellular pathogens, such as EBV, CMV, HIV, and COVID-19.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Autoimmune-associated HLH (aHLH) / Macrophage Activation Syndrome (MAS), </w:t>
            </w:r>
            <w:r>
              <w:rPr>
                <w:rFonts w:ascii="Arial" w:hAnsi="Arial"/>
                <w:sz w:val="19"/>
              </w:rPr>
              <w:t xml:space="preserve">which may occur in autoimmune diseases, such as systemic juvenile idiopathic arthritis and adult-onset Still’s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 xml:space="preserve">Immune Effector Cell-associated HLH-like Syndrome (IEC-HS), </w:t>
            </w:r>
            <w:r>
              <w:rPr>
                <w:rFonts w:ascii="Arial" w:hAnsi="Arial"/>
                <w:sz w:val="19"/>
              </w:rPr>
              <w:t xml:space="preserve">which is increasingly recognized in association with immune-effector cell therapies, including chimeric antigen receptor T cell (CAR-T) therapies, and bispecific T cell engagers (TCEs), both of which are increasing in clinical use, including in diseases beyond cancer.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75325" cy="2105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5325" cy="2105025"/>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Across these etiologies, the underlying pathology is consistently that of dysregulated immune activation and proliferation of pathogenic T cells and macrophages resulting in systemic hyperinflammation. </w:t>
      </w:r>
    </w:p>
    <w:p>
      <w:pPr>
        <w:pStyle w:val="TextBody"/>
        <w:bidi w:val="0"/>
        <w:spacing w:before="80" w:after="0"/>
        <w:jc w:val="left"/>
        <w:rPr>
          <w:rFonts w:ascii="Arial" w:hAnsi="Arial"/>
          <w:i/>
          <w:sz w:val="19"/>
        </w:rPr>
      </w:pPr>
      <w:r>
        <w:rPr>
          <w:rFonts w:ascii="Arial" w:hAnsi="Arial"/>
          <w:i/>
          <w:sz w:val="19"/>
        </w:rPr>
        <w:t xml:space="preserve">Clinical Presentation and Diagnosis: Severe Hyperinflammation with Rapid Onset </w:t>
      </w:r>
    </w:p>
    <w:p>
      <w:pPr>
        <w:pStyle w:val="TextBody"/>
        <w:bidi w:val="0"/>
        <w:spacing w:before="40" w:after="0"/>
        <w:jc w:val="left"/>
        <w:rPr>
          <w:rFonts w:ascii="Arial" w:hAnsi="Arial"/>
          <w:sz w:val="19"/>
        </w:rPr>
      </w:pPr>
      <w:r>
        <w:rPr>
          <w:rFonts w:ascii="Arial" w:hAnsi="Arial"/>
          <w:sz w:val="19"/>
        </w:rPr>
        <w:t xml:space="preserve">The hyperinflammatory response associated with HLH leads to a rapid onset of severe clinical features. Over days to weeks, patients can develop a constellation of signs and symptoms that include persistent high fevers despite use of antipyretics or antibiotics, severe fatigue, abdominal pain and fullness from an enlarged spleen and liver, easy bruising or bleeding, and in some cases rash, jaundice, or neurologic changes such as confusion. Patients feel acutely and severely ill, and the rapid trajectory of their decline typically drives them to proactively seek medical care. sHLH can present in patients at any age, but typically occurs in older children, adolescents and adults. Patients presenting at tertiary medical centers typically receive urgent medical intervention, including laboratory workup, supportive care, and empiric treatment. The typical progression from an underlying trigger through clinical presentation, evaluation, and treatment is illustrated below.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5960" cy="22682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5960" cy="226822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Based on the pathophysiology and presentation of sHLH, hematologist-oncologists typically direct diagnosis and treatment. Clinical suspicion and treatment of sHLH is driven by a syndrome of common signs and symptoms. A widely used mnemonic referred to as the “Three Fs” has emerged to aid recognition of the disease: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9"/>
              </w:rPr>
            </w:pPr>
            <w:r>
              <w:rPr>
                <w:rFonts w:ascii="Arial" w:hAnsi="Arial"/>
                <w:b/>
                <w:sz w:val="19"/>
              </w:rPr>
              <w:t>fever</w:t>
            </w:r>
            <w:r>
              <w:rPr>
                <w:rFonts w:ascii="Arial" w:hAnsi="Arial"/>
                <w:sz w:val="19"/>
              </w:rPr>
              <w:t xml:space="preserve"> that is high and unrelenting;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9"/>
              </w:rPr>
            </w:pPr>
            <w:r>
              <w:rPr>
                <w:rFonts w:ascii="Arial" w:hAnsi="Arial"/>
                <w:b/>
                <w:sz w:val="19"/>
              </w:rPr>
              <w:t>ferritin</w:t>
            </w:r>
            <w:r>
              <w:rPr>
                <w:rFonts w:ascii="Arial" w:hAnsi="Arial"/>
                <w:sz w:val="19"/>
              </w:rPr>
              <w:t xml:space="preserve"> that is markedly elevated above the normal range;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Arial" w:hAnsi="Arial"/>
                <w:sz w:val="19"/>
              </w:rPr>
            </w:pPr>
            <w:r>
              <w:rPr>
                <w:rFonts w:ascii="Arial" w:hAnsi="Arial"/>
                <w:b/>
                <w:sz w:val="19"/>
              </w:rPr>
              <w:t>falling</w:t>
            </w:r>
            <w:r>
              <w:rPr>
                <w:rFonts w:ascii="Arial" w:hAnsi="Arial"/>
                <w:sz w:val="19"/>
              </w:rPr>
              <w:t xml:space="preserve"> blood cell counts (cytopenias), associated with hemophagocytosis. </w:t>
            </w:r>
          </w:p>
        </w:tc>
      </w:tr>
    </w:tbl>
    <w:p>
      <w:pPr>
        <w:pStyle w:val="TextBody"/>
        <w:bidi w:val="0"/>
        <w:spacing w:before="180" w:after="0"/>
        <w:jc w:val="left"/>
        <w:rPr>
          <w:rFonts w:ascii="Arial" w:hAnsi="Arial"/>
          <w:sz w:val="19"/>
        </w:rPr>
      </w:pPr>
      <w:r>
        <w:rPr>
          <w:rFonts w:ascii="Arial" w:hAnsi="Arial"/>
          <w:sz w:val="19"/>
        </w:rPr>
        <w:t xml:space="preserve">Additional features frequently associated with sHLH and contributing to diagnosis include enlarged spleen and liver (splenomegaly and hepatomegaly, respectively) and elevated soluble CD25 (sCD25), a marker of T cell activation. </w:t>
      </w:r>
    </w:p>
    <w:p>
      <w:pPr>
        <w:pStyle w:val="TextBody"/>
        <w:bidi w:val="0"/>
        <w:spacing w:before="180" w:after="0"/>
        <w:jc w:val="left"/>
        <w:rPr>
          <w:rFonts w:ascii="Arial" w:hAnsi="Arial"/>
          <w:sz w:val="19"/>
        </w:rPr>
      </w:pPr>
      <w:r>
        <w:rPr>
          <w:rFonts w:ascii="Arial" w:hAnsi="Arial"/>
          <w:sz w:val="19"/>
        </w:rPr>
        <w:t xml:space="preserve">Other diagnostic frameworks also include the HLH-2004 criteria, originally developed for pHLH but sometimes applied across HLH subtypes, under which patients meeting at least five of eight specified clinical and laboratory features are classified as having HLH. More recently, the Optimized HLH Inflammatory (OHI) index, based on combined elevations of sCD25 and ferritin, has been validated in adults with mHLH and is gaining adoption in clinical practice. The Three Fs, HLH-2004 criteria and the OHI index are presented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9280" cy="230441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69280" cy="2304415"/>
                    </a:xfrm>
                    <a:prstGeom prst="rect">
                      <a:avLst/>
                    </a:prstGeom>
                  </pic:spPr>
                </pic:pic>
              </a:graphicData>
            </a:graphic>
          </wp:inline>
        </w:drawing>
      </w:r>
      <w:r>
        <w:rPr/>
        <w:t xml:space="preserve"> </w:t>
      </w:r>
    </w:p>
    <w:p>
      <w:pPr>
        <w:pStyle w:val="TextBody"/>
        <w:bidi w:val="0"/>
        <w:spacing w:before="80" w:after="0"/>
        <w:jc w:val="left"/>
        <w:rPr>
          <w:rFonts w:ascii="Arial" w:hAnsi="Arial"/>
          <w:i/>
          <w:sz w:val="19"/>
        </w:rPr>
      </w:pPr>
      <w:r>
        <w:rPr>
          <w:rFonts w:ascii="Arial" w:hAnsi="Arial"/>
          <w:i/>
          <w:sz w:val="19"/>
        </w:rPr>
        <w:t xml:space="preserve">sHLH Epidemiology </w:t>
      </w:r>
    </w:p>
    <w:p>
      <w:pPr>
        <w:pStyle w:val="TextBody"/>
        <w:bidi w:val="0"/>
        <w:spacing w:before="40" w:after="0"/>
        <w:jc w:val="left"/>
        <w:rPr>
          <w:rFonts w:ascii="Arial" w:hAnsi="Arial"/>
          <w:sz w:val="19"/>
        </w:rPr>
      </w:pPr>
      <w:r>
        <w:rPr>
          <w:rFonts w:ascii="Arial" w:hAnsi="Arial"/>
          <w:sz w:val="19"/>
        </w:rPr>
        <w:t xml:space="preserve">Based on a primary claims data analysis using HLH-specific ICD codes, approximately 12,600 patients were diagnosed with sHLH in the United States in 2025, as shown in the chart below. Notably, the diagnosed population increased at an estimated compound annual growth rate of 11.5% from 2021 through 2025. Assuming a similar annual growth rate, this would extrapolate to a diagnosed incidence of approximately 17,500 in 2028. Moreover, we believe the diagnosed incidence of sHLH may meaningfully understate the true burden of disease because it does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not account for misdiagnosed or undiagnosed patients, or for patients treated without assignment of an HLH-specific ICD code. Consistent with historical trends in rare diseases (such as thyroid eye disease, generalized myasthenia gravis, and hemophilia), we believe the availability of a disease-modifying therapy could meaningfully expand the patient population, as diagnosis and treatment rates increase with the availability of effective options.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130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78500" cy="2130425"/>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We believe several factors are driving this growth trend,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i/>
                <w:sz w:val="19"/>
              </w:rPr>
              <w:t>Increasing awareness and recognition of sHLH</w:t>
            </w:r>
            <w:r>
              <w:rPr>
                <w:rFonts w:ascii="Arial" w:hAnsi="Arial"/>
                <w:sz w:val="19"/>
              </w:rPr>
              <w:t xml:space="preserve">. Clinical familiarity with sHLH has increased over the past two decades, with the COVID-19 pandemic in 2020 representing an important inflection point for broader awareness within the medical community. This has contributed to improved recognition and diagnosis of sHLH across all triggers. For example, from 2021 through 2025, growth in diagnosed mHLH associated with hematologic malignancies significantly exceeded growth in the underlying hematologic malignancies themselves.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i/>
                <w:sz w:val="19"/>
              </w:rPr>
              <w:t>Increasing incidence of underlying triggering conditions.</w:t>
            </w:r>
            <w:r>
              <w:rPr>
                <w:rFonts w:ascii="Arial" w:hAnsi="Arial"/>
                <w:sz w:val="19"/>
              </w:rPr>
              <w:t xml:space="preserve"> The underlying conditions associated with sHLH, including hematologic malignancies, autoimmune diseases, and immune-activating therapies, continue to increase in incidence. In particular, expanding utilization of CAR-T therapies and bispecific T cell engagers is contributing to growth in the IEC-HS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i/>
                <w:sz w:val="19"/>
              </w:rPr>
              <w:t>Simpler and more expedient diagnostic approaches.</w:t>
            </w:r>
            <w:r>
              <w:rPr>
                <w:rFonts w:ascii="Arial" w:hAnsi="Arial"/>
                <w:sz w:val="19"/>
              </w:rPr>
              <w:t xml:space="preserve"> Increasing adoption of simpler and more practical diagnostic frameworks, including the “Three Fs” heuristic and the OHI criteria, is improving the speed and consistency of sHLH recognition and diagnosis. </w:t>
            </w:r>
          </w:p>
        </w:tc>
      </w:tr>
    </w:tbl>
    <w:p>
      <w:pPr>
        <w:pStyle w:val="TextBody"/>
        <w:bidi w:val="0"/>
        <w:spacing w:before="80" w:after="0"/>
        <w:jc w:val="left"/>
        <w:rPr>
          <w:rFonts w:ascii="Arial" w:hAnsi="Arial"/>
          <w:i/>
          <w:sz w:val="19"/>
        </w:rPr>
      </w:pPr>
      <w:r>
        <w:rPr>
          <w:rFonts w:ascii="Arial" w:hAnsi="Arial"/>
          <w:i/>
          <w:sz w:val="19"/>
        </w:rPr>
        <w:t xml:space="preserve">Limited Treatment Landscape: High Early Mortality Has Not Significantly Improved in Two Decades </w:t>
      </w:r>
    </w:p>
    <w:p>
      <w:pPr>
        <w:pStyle w:val="TextBody"/>
        <w:bidi w:val="0"/>
        <w:spacing w:before="40" w:after="0"/>
        <w:jc w:val="left"/>
        <w:rPr>
          <w:rFonts w:ascii="Arial" w:hAnsi="Arial"/>
          <w:sz w:val="19"/>
        </w:rPr>
      </w:pPr>
      <w:r>
        <w:rPr>
          <w:rFonts w:ascii="Arial" w:hAnsi="Arial"/>
          <w:sz w:val="19"/>
        </w:rPr>
        <w:t xml:space="preserve">sHLH remains a severe and rapidly progressive disease with limited treatment options and no established SOC. Despite advances in supportive care and adjacent therapeutic areas, mortality outcomes in sHLH have not significantly improved over the past two decades. </w:t>
      </w:r>
    </w:p>
    <w:p>
      <w:pPr>
        <w:pStyle w:val="TextBody"/>
        <w:bidi w:val="0"/>
        <w:spacing w:before="180" w:after="0"/>
        <w:jc w:val="left"/>
        <w:rPr>
          <w:rFonts w:ascii="Arial" w:hAnsi="Arial"/>
          <w:sz w:val="19"/>
        </w:rPr>
      </w:pPr>
      <w:r>
        <w:rPr>
          <w:rFonts w:ascii="Arial" w:hAnsi="Arial"/>
          <w:sz w:val="19"/>
        </w:rPr>
        <w:t>There are currently no approved therapies for the treatment of sHLH broadly. Beyond corticosteroids, such as dexamethasone, which are commonly used as background therapy, clinicians rely on a heterogeneous combination of off-label agents, including etoposide (cytotoxic chemotherapy), alemtuzumab (an anti-CD52 monoclonal antibody associated with broad immunosuppression), ruxolitinib (a JAK1/2 inhibitor), tocilizumab (an anti-IL-6 monoclonal antibody), and anakinra (an IL-1 receptor antagonist). Emapalumab (an anti-interferon-</w:t>
      </w:r>
      <w:r>
        <w:rPr>
          <w:rFonts w:ascii="SYMBOL" w:hAnsi="SYMBOL"/>
          <w:sz w:val="19"/>
        </w:rPr>
        <w:t>g</w:t>
      </w:r>
      <w:r>
        <w:rPr>
          <w:rFonts w:ascii="Arial" w:hAnsi="Arial"/>
          <w:sz w:val="19"/>
        </w:rPr>
        <w:t xml:space="preserve"> monoclonal antibody) is FDA-approved only for refractory or recurrent pHLH and MAS associated with Still’s disease. </w:t>
      </w:r>
    </w:p>
    <w:p>
      <w:pPr>
        <w:pStyle w:val="TextBody"/>
        <w:bidi w:val="0"/>
        <w:spacing w:before="180" w:after="0"/>
        <w:jc w:val="left"/>
        <w:rPr>
          <w:rFonts w:ascii="Arial" w:hAnsi="Arial"/>
          <w:sz w:val="19"/>
        </w:rPr>
      </w:pPr>
      <w:r>
        <w:rPr>
          <w:rFonts w:ascii="Arial" w:hAnsi="Arial"/>
          <w:sz w:val="19"/>
        </w:rPr>
        <w:t xml:space="preserve">We believe the aforementioned therapies are limited either by broad immunosuppression or by targeting individual downstream cytokine or signaling pathways without directly addressing the activated myeloid cells and T cells that drive the inflammatory cascade in sHLH. The current patient journey, which typically involves escalating intervention without resolution and associated high early mortality, reflects these limitations. </w:t>
      </w:r>
    </w:p>
    <w:p>
      <w:pPr>
        <w:pStyle w:val="TextBody"/>
        <w:bidi w:val="0"/>
        <w:spacing w:before="180" w:after="0"/>
        <w:jc w:val="left"/>
        <w:rPr>
          <w:rFonts w:ascii="Arial" w:hAnsi="Arial"/>
          <w:sz w:val="19"/>
        </w:rPr>
      </w:pPr>
      <w:r>
        <w:rPr>
          <w:rFonts w:ascii="Arial" w:hAnsi="Arial"/>
          <w:sz w:val="19"/>
        </w:rPr>
        <w:t xml:space="preserve">Despite the use of these therapies, which are not specifically indicated for sHLH, many patients experience progressive multiorgan dysfunction and severe morbidity, including respiratory and hepatic failure, coagulopathy (the inability of blood to clot), and hemodynamic collapse (a life-threatening failure of the cardiovascular system), frequently resulting in escalation to ICU care and early mortality. As depicted in the image below, in-hospital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mortality remained stable from 2007 to 2019 despite advances in supportive care and off-label use of steroids, chemotherapy, and biologic therapies.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59842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78500" cy="259842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As observed across multiple studies, sHLH overall survival is severely limited, with most deaths occurring within two months of diagnosis. Among patients with mHLH, the most common and severe subtype in adults, 2-month OS with available therapies has been reported to be approximately 50%, as shown in the Kaplan Meier survival curve below. Additional publications from MD Anderson Cancer Center, Memorial Sloan Kettering Cancer Center, and Mayo Clinic also reported similar survival curves and an overall survival rate of approximately 50% at 2 months for mHLH patients.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83860" cy="2130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83860" cy="2130425"/>
                    </a:xfrm>
                    <a:prstGeom prst="rect">
                      <a:avLst/>
                    </a:prstGeom>
                  </pic:spPr>
                </pic:pic>
              </a:graphicData>
            </a:graphic>
          </wp:inline>
        </w:drawing>
      </w:r>
      <w:r>
        <w:rPr/>
        <w:t xml:space="preserve"> </w:t>
      </w:r>
    </w:p>
    <w:p>
      <w:pPr>
        <w:pStyle w:val="TextBody"/>
        <w:bidi w:val="0"/>
        <w:spacing w:before="180" w:after="0"/>
        <w:jc w:val="left"/>
        <w:rPr>
          <w:rFonts w:ascii="Arial" w:hAnsi="Arial"/>
          <w:i/>
          <w:sz w:val="16"/>
        </w:rPr>
      </w:pPr>
      <w:r>
        <w:rPr>
          <w:rFonts w:ascii="Arial" w:hAnsi="Arial"/>
          <w:i/>
          <w:sz w:val="16"/>
        </w:rPr>
        <w:t xml:space="preserve">Source: mHLH patient level data at Vanderbilt University Medical Center (N=59, Broome, 2025); additional publications from MD Anderson, Memorial Sloan Kettering, and Mayo Clinic report similar survival curves and a consistent overall survival rate of ~50% at 8 weeks for mHLH patients (Long, 2025; Lee, 2021; Janda, 2025) </w:t>
      </w:r>
    </w:p>
    <w:p>
      <w:pPr>
        <w:pStyle w:val="TextBody"/>
        <w:bidi w:val="0"/>
        <w:spacing w:before="180" w:after="0"/>
        <w:jc w:val="left"/>
        <w:rPr>
          <w:rFonts w:ascii="Arial" w:hAnsi="Arial"/>
          <w:sz w:val="19"/>
        </w:rPr>
      </w:pPr>
      <w:r>
        <w:rPr>
          <w:rFonts w:ascii="Arial" w:hAnsi="Arial"/>
          <w:sz w:val="19"/>
        </w:rPr>
        <w:t xml:space="preserve">We believe the absence of an approved therapy for sHLH broadly, the lack of an established SOC, and persistently high early mortality underscore the critical need for more effective treatment approaches. </w:t>
      </w:r>
    </w:p>
    <w:p>
      <w:pPr>
        <w:pStyle w:val="TextBody"/>
        <w:bidi w:val="0"/>
        <w:spacing w:before="240" w:after="0"/>
        <w:jc w:val="left"/>
        <w:rPr>
          <w:rFonts w:ascii="Arial" w:hAnsi="Arial"/>
          <w:b/>
          <w:sz w:val="20"/>
        </w:rPr>
      </w:pPr>
      <w:r>
        <w:rPr>
          <w:rFonts w:ascii="Arial" w:hAnsi="Arial"/>
          <w:b/>
          <w:sz w:val="20"/>
        </w:rPr>
        <w:t xml:space="preserve">Our Solution: Ipsoprubart, a Pan-SIRP Antibody Targeting Myeloid Cells and T Cells </w:t>
      </w:r>
    </w:p>
    <w:p>
      <w:pPr>
        <w:pStyle w:val="TextBody"/>
        <w:bidi w:val="0"/>
        <w:spacing w:before="80" w:after="0"/>
        <w:jc w:val="left"/>
        <w:rPr>
          <w:rFonts w:ascii="Arial" w:hAnsi="Arial"/>
          <w:b/>
          <w:i/>
          <w:sz w:val="19"/>
        </w:rPr>
      </w:pPr>
      <w:r>
        <w:rPr>
          <w:rFonts w:ascii="Arial" w:hAnsi="Arial"/>
          <w:b/>
          <w:i/>
          <w:sz w:val="19"/>
        </w:rPr>
        <w:t xml:space="preserve">A Novel Mechanism of Action Targeting Pathogenic Immune Cells for sHLH </w:t>
      </w:r>
    </w:p>
    <w:p>
      <w:pPr>
        <w:pStyle w:val="TextBody"/>
        <w:bidi w:val="0"/>
        <w:spacing w:before="40" w:after="0"/>
        <w:jc w:val="left"/>
        <w:rPr>
          <w:rFonts w:ascii="Arial" w:hAnsi="Arial"/>
          <w:sz w:val="19"/>
        </w:rPr>
      </w:pPr>
      <w:r>
        <w:rPr>
          <w:rFonts w:ascii="Arial" w:hAnsi="Arial"/>
          <w:sz w:val="19"/>
        </w:rPr>
        <w:t>Ipsoprubart is an investigational, novel fully human IgG1 monoclonal antibody that binds to SIRP</w:t>
      </w:r>
      <w:r>
        <w:rPr>
          <w:rFonts w:ascii="SYMBOL" w:hAnsi="SYMBOL"/>
          <w:sz w:val="19"/>
        </w:rPr>
        <w:t>a</w:t>
      </w:r>
      <w:r>
        <w:rPr>
          <w:rFonts w:ascii="Arial" w:hAnsi="Arial"/>
          <w:sz w:val="19"/>
        </w:rPr>
        <w:t xml:space="preserve"> and SIRPß1 on myeloid cells and SIRP</w:t>
      </w:r>
      <w:r>
        <w:rPr>
          <w:rFonts w:ascii="SYMBOL" w:hAnsi="SYMBOL"/>
          <w:sz w:val="19"/>
        </w:rPr>
        <w:t>g</w:t>
      </w:r>
      <w:r>
        <w:rPr>
          <w:rFonts w:ascii="Arial" w:hAnsi="Arial"/>
          <w:sz w:val="19"/>
        </w:rPr>
        <w:t xml:space="preserve"> on T cells, immune cells that are principally responsible for driving the cytokine storm in severe hyperinflammatory conditions, including sHLH. Ipsoprubart is engineered with modifications in the fragment-crystallizable (Fc) region and is designed to bind to SIRP proteins via its complementarity-determining region, to enable both ADCC and ADCP by which antibodies eliminate target cells.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Ipsoprubart is designed to act at the disease source by engaging Fc-receptor-bearing effector cells to rapidly eliminate the pathogenic myeloid cells and T cells that initiate and amplify the cytokine storm. Cytokine-directed inhibitors, by contrast, block only individual effectors of immune dysregulation. At the other end of the spectrum, chemotherapy agents are highly myelosuppressive in a non-specific manner, often leading to significant toxicities, including prolonged cytopenias. Because SIRP expression is elevated on activated pathogenic myeloid cells and T cells, ipsoprubart is designed to preferentially deplete these SIRP-high expressing cells while sparing resting and recovering immune cell populations. We believe ipsoprubart’s selectivity could translate to important safety and efficacy attributes for the treatment of inflammatory conditions. Therefore, ipsoprubart may offer a differentiated approach compared to agents currently used to treat sHLH. </w:t>
      </w:r>
    </w:p>
    <w:p>
      <w:pPr>
        <w:pStyle w:val="TextBody"/>
        <w:bidi w:val="0"/>
        <w:spacing w:before="180" w:after="0"/>
        <w:jc w:val="left"/>
        <w:rPr>
          <w:rFonts w:ascii="Arial" w:hAnsi="Arial"/>
          <w:sz w:val="19"/>
        </w:rPr>
      </w:pPr>
      <w:r>
        <w:rPr>
          <w:rFonts w:ascii="Arial" w:hAnsi="Arial"/>
          <w:sz w:val="19"/>
        </w:rPr>
        <w:t>Nonclinical studies demonstrated that ipsoprubart did not inhibit CD47 binding to SIRP</w:t>
      </w:r>
      <w:r>
        <w:rPr>
          <w:rFonts w:ascii="SYMBOL" w:hAnsi="SYMBOL"/>
          <w:sz w:val="19"/>
        </w:rPr>
        <w:t>a</w:t>
      </w:r>
      <w:r>
        <w:rPr>
          <w:rFonts w:ascii="Arial" w:hAnsi="Arial"/>
          <w:sz w:val="19"/>
        </w:rPr>
        <w:t xml:space="preserve">, suggesting preservation of the immune-surveillance signal that prior CD47-directed approaches have disrupted. Importantly, ipsoprubart’s activity has been shown to be driven by Fc-mediated depletion of pathogenic SIRP-expressing myeloid cells and T cells. </w:t>
      </w:r>
    </w:p>
    <w:p>
      <w:pPr>
        <w:pStyle w:val="TextBody"/>
        <w:bidi w:val="0"/>
        <w:spacing w:before="180" w:after="0"/>
        <w:jc w:val="left"/>
        <w:rPr>
          <w:rFonts w:ascii="Arial" w:hAnsi="Arial"/>
          <w:sz w:val="19"/>
        </w:rPr>
      </w:pPr>
      <w:r>
        <w:rPr>
          <w:rFonts w:ascii="Arial" w:hAnsi="Arial"/>
          <w:sz w:val="19"/>
        </w:rPr>
        <w:t xml:space="preserve">Given its novel mechanism of action, we believe ipsoprubart can rapidly disrupt the cytokine storm at its source, offering the potential to become the first therapy for sHLH broadly, irrespective of the underlying trigger or cytokine expression pattern. </w:t>
      </w:r>
    </w:p>
    <w:p>
      <w:pPr>
        <w:pStyle w:val="TextBody"/>
        <w:bidi w:val="0"/>
        <w:spacing w:before="180" w:after="0"/>
        <w:jc w:val="left"/>
        <w:rPr>
          <w:rFonts w:ascii="Arial" w:hAnsi="Arial"/>
          <w:sz w:val="19"/>
        </w:rPr>
      </w:pPr>
      <w:r>
        <w:rPr>
          <w:rFonts w:ascii="Arial" w:hAnsi="Arial"/>
          <w:sz w:val="19"/>
        </w:rPr>
        <w:t xml:space="preserve">Ipsoprubart is designed for subcutaneous (SC) or intravenous (IV) administration in either outpatient or inpatient settings. For the treatment of sHLH, patients in our trials generally start ipsoprubart in the inpatient setting for priming and loading doses. Once patients are stabilized and discharged from the hospital, they continue treatment in the outpatient setting for most of their treatment course. </w:t>
      </w:r>
    </w:p>
    <w:p>
      <w:pPr>
        <w:pStyle w:val="TextBody"/>
        <w:bidi w:val="0"/>
        <w:spacing w:before="80" w:after="0"/>
        <w:jc w:val="left"/>
        <w:rPr>
          <w:rFonts w:ascii="Arial" w:hAnsi="Arial"/>
          <w:b/>
          <w:i/>
          <w:sz w:val="19"/>
        </w:rPr>
      </w:pPr>
      <w:r>
        <w:rPr>
          <w:rFonts w:ascii="Arial" w:hAnsi="Arial"/>
          <w:b/>
          <w:i/>
          <w:sz w:val="19"/>
        </w:rPr>
        <w:t xml:space="preserve">Nonclinical Pharmacology and Toxicology </w:t>
      </w:r>
    </w:p>
    <w:p>
      <w:pPr>
        <w:pStyle w:val="TextBody"/>
        <w:bidi w:val="0"/>
        <w:spacing w:before="40" w:after="0"/>
        <w:jc w:val="left"/>
        <w:rPr>
          <w:rFonts w:ascii="Arial" w:hAnsi="Arial"/>
          <w:sz w:val="19"/>
        </w:rPr>
      </w:pPr>
      <w:r>
        <w:rPr>
          <w:rFonts w:ascii="Arial" w:hAnsi="Arial"/>
          <w:sz w:val="19"/>
        </w:rPr>
        <w:t>In nonclinical studies, ipsoprubart demonstrated comparable binding to human and NHP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isoforms, with binding affinities within three-fold across paired isoforms, supporting the translational relevance of the NHP model for IND-enabling toxicology. </w:t>
      </w:r>
    </w:p>
    <w:p>
      <w:pPr>
        <w:pStyle w:val="TextBody"/>
        <w:bidi w:val="0"/>
        <w:spacing w:before="180" w:after="0"/>
        <w:jc w:val="left"/>
        <w:rPr>
          <w:rFonts w:ascii="Arial" w:hAnsi="Arial"/>
          <w:sz w:val="19"/>
        </w:rPr>
      </w:pPr>
      <w:r>
        <w:rPr>
          <w:rFonts w:ascii="Arial" w:hAnsi="Arial"/>
          <w:sz w:val="19"/>
        </w:rPr>
        <w:t xml:space="preserve">Ipsoprubart induced ADCC and ADCP of primary human and NHP monocytes and T cells </w:t>
      </w:r>
      <w:r>
        <w:rPr>
          <w:rFonts w:ascii="Arial" w:hAnsi="Arial"/>
          <w:i/>
          <w:sz w:val="19"/>
        </w:rPr>
        <w:t>in vitro</w:t>
      </w:r>
      <w:r>
        <w:rPr>
          <w:rFonts w:ascii="Arial" w:hAnsi="Arial"/>
          <w:sz w:val="19"/>
        </w:rPr>
        <w:t xml:space="preserve">, with EC90 values of 0.1 µg/mL or less. IV administration of ipsoprubart to NHPs demonstrated dose-proportional exposure, as measured by area under the concentration–time curve (AUC) and maximum observed plasma concentration (Cmax), and duration of plasma ipsoprubart concentrations. SC administration of ipsoprubart displayed substantial bioavailability. Administration of ipsoprubart to NHPs resulted in rapid and reversible depletion of circulating monocytes and lymphocytes, with a dose-dependent PK-PD effect at target dose ranges. </w:t>
      </w:r>
    </w:p>
    <w:p>
      <w:pPr>
        <w:pStyle w:val="TextBody"/>
        <w:bidi w:val="0"/>
        <w:spacing w:before="180" w:after="0"/>
        <w:jc w:val="left"/>
        <w:rPr>
          <w:rFonts w:ascii="Arial" w:hAnsi="Arial"/>
          <w:sz w:val="19"/>
        </w:rPr>
      </w:pPr>
      <w:r>
        <w:rPr>
          <w:rFonts w:ascii="Arial" w:hAnsi="Arial"/>
          <w:sz w:val="19"/>
        </w:rPr>
        <w:t xml:space="preserve">At plasma concentrations of ipsoprubart above approximately 0.1 µg/mL, depletion of target cell populations was sustained, and once plasma concentrations fell below this threshold, target cell counts returned to baseline. We believe this reversibility may represent a key safety differentiator compared with therapies such as etoposide and alemtuzumab, as etoposide can cause broad myelosuppression through effects on proliferating hematopoietic progenitors, while alemtuzumab has been associated with profound and prolonged lymphodepletion that may delay immune reconstitution. Ipsoprubart was well tolerated in both 28-day and 6-month GLP repeat-dose toxicology studies in NHPs. </w:t>
      </w:r>
    </w:p>
    <w:p>
      <w:pPr>
        <w:pStyle w:val="TextBody"/>
        <w:bidi w:val="0"/>
        <w:spacing w:before="80" w:after="0"/>
        <w:jc w:val="left"/>
        <w:rPr>
          <w:rFonts w:ascii="Arial" w:hAnsi="Arial"/>
          <w:b/>
          <w:i/>
          <w:sz w:val="19"/>
        </w:rPr>
      </w:pPr>
      <w:r>
        <w:rPr>
          <w:rFonts w:ascii="Arial" w:hAnsi="Arial"/>
          <w:b/>
          <w:i/>
          <w:sz w:val="19"/>
        </w:rPr>
        <w:t xml:space="preserve">Robust Clinical Program and Regulatory Designations in sHLH </w:t>
      </w:r>
    </w:p>
    <w:p>
      <w:pPr>
        <w:pStyle w:val="TextBody"/>
        <w:bidi w:val="0"/>
        <w:spacing w:before="40" w:after="0"/>
        <w:jc w:val="left"/>
        <w:rPr>
          <w:rFonts w:ascii="Arial" w:hAnsi="Arial"/>
          <w:sz w:val="19"/>
        </w:rPr>
      </w:pPr>
      <w:r>
        <w:rPr>
          <w:rFonts w:ascii="Arial" w:hAnsi="Arial"/>
          <w:sz w:val="19"/>
        </w:rPr>
        <w:t xml:space="preserve">We have completed a Phase 1 clinical program for ipsoprubart comprising two trials: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Phase 1 randomized, double-blind, placebo-controlled, multicenter trial in 94 healthy adult volunteers, evaluating the safety, tolerability, PK, and PD of ipsoprubart following single and multiple doses administered IV and/or SC.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Phase 1b open-label, single-arm, multicenter trial in 22 patients with sHLH, evaluating the safety, efficacy, PK, and PD of ipsoprubart and identifying a dosing regimen for further clinical evaluation. </w:t>
            </w:r>
          </w:p>
        </w:tc>
      </w:tr>
    </w:tbl>
    <w:p>
      <w:pPr>
        <w:pStyle w:val="TextBody"/>
        <w:bidi w:val="0"/>
        <w:spacing w:before="180" w:after="0"/>
        <w:jc w:val="left"/>
        <w:rPr>
          <w:rFonts w:ascii="Arial" w:hAnsi="Arial"/>
          <w:sz w:val="19"/>
        </w:rPr>
      </w:pPr>
      <w:r>
        <w:rPr>
          <w:rFonts w:ascii="Arial" w:hAnsi="Arial"/>
          <w:sz w:val="19"/>
        </w:rPr>
        <w:t xml:space="preserve">Following completion of the Phase 1 program, we received FDA feedback on a registrational development program for ipsoprubart in sHLH. We have initiated two trials intended to support potential approval of ipsoprubart. This includes SURPASS, our Phase 2/3 registrational trial of ipsoprubart in newly diagnosed, treatment-naïve patients with sHLH, and COMPASS, a natural history study from which protocol-defined data collection and systematic clinical adjudication will support the selection of the external control comparator for SURPASS.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2025, ipsoprubart received BTD from the FDA and PRIME designation from the EMA. Both designations are for the treatment of sHLH broadly, which we believe reflects the acknowledgment by the regulatory authorities of the high unmet need in sHLH and that our data demonstrate the potential for ipsoprubart to provide substantial improvements over currently available therapy on one or more clinically meaningful endpoints, including overall survival. </w:t>
      </w:r>
    </w:p>
    <w:p>
      <w:pPr>
        <w:pStyle w:val="TextBody"/>
        <w:bidi w:val="0"/>
        <w:spacing w:before="80" w:after="0"/>
        <w:jc w:val="left"/>
        <w:rPr>
          <w:rFonts w:ascii="Arial" w:hAnsi="Arial"/>
          <w:b/>
          <w:i/>
          <w:sz w:val="19"/>
        </w:rPr>
      </w:pPr>
      <w:r>
        <w:rPr>
          <w:rFonts w:ascii="Arial" w:hAnsi="Arial"/>
          <w:b/>
          <w:i/>
          <w:sz w:val="19"/>
        </w:rPr>
        <w:t xml:space="preserve">Our Completed Phase 1 Clinical Trial in Healthy Volunteers </w:t>
      </w:r>
    </w:p>
    <w:p>
      <w:pPr>
        <w:pStyle w:val="TextBody"/>
        <w:bidi w:val="0"/>
        <w:spacing w:before="40" w:after="0"/>
        <w:jc w:val="left"/>
        <w:rPr>
          <w:rFonts w:ascii="Arial" w:hAnsi="Arial"/>
          <w:sz w:val="19"/>
        </w:rPr>
      </w:pPr>
      <w:r>
        <w:rPr>
          <w:rFonts w:ascii="Arial" w:hAnsi="Arial"/>
          <w:sz w:val="19"/>
        </w:rPr>
        <w:t xml:space="preserve">We have completed a Phase 1, randomized, double-blind, placebo-controlled trial of ipsoprubart in healthy adult volunteers. The trial was designed to evaluate the safety, tolerability, PK, and PD of single and multiple ascending doses of ipsoprubart administered IV and/or SC. A total of 94 participants received ipsoprubart or placebo across two parts. </w:t>
      </w:r>
    </w:p>
    <w:p>
      <w:pPr>
        <w:pStyle w:val="TextBody"/>
        <w:bidi w:val="0"/>
        <w:spacing w:before="180" w:after="0"/>
        <w:jc w:val="left"/>
        <w:rPr>
          <w:rFonts w:ascii="Arial" w:hAnsi="Arial"/>
          <w:sz w:val="19"/>
        </w:rPr>
      </w:pPr>
      <w:r>
        <w:rPr>
          <w:rFonts w:ascii="Arial" w:hAnsi="Arial"/>
          <w:sz w:val="19"/>
        </w:rPr>
        <w:t xml:space="preserve">In Part 1, the single-ascending-dose portion of the trial, 50 participants received single doses of ipsoprubart administered IV (0.001 to 0.01 mg/kg) or SC (0.02 to 0.5 mg/kg), and 17 received placebo. In Part 2, the multiple-dose portion of the trial, 18 participants received multiple SC doses of ipsoprubart at cumulative doses up to 1.2 mg/kg, and 9 received placebo. The trial was conducted in Europe, and all 94 participants completed the trial. </w:t>
      </w:r>
    </w:p>
    <w:p>
      <w:pPr>
        <w:pStyle w:val="TextBody"/>
        <w:bidi w:val="0"/>
        <w:spacing w:before="180" w:after="0"/>
        <w:jc w:val="left"/>
        <w:rPr>
          <w:rFonts w:ascii="Arial" w:hAnsi="Arial"/>
          <w:sz w:val="19"/>
        </w:rPr>
      </w:pPr>
      <w:r>
        <w:rPr>
          <w:rFonts w:ascii="Arial" w:hAnsi="Arial"/>
          <w:sz w:val="19"/>
        </w:rPr>
        <w:t xml:space="preserve">Ipsoprubart produced substantial transient reductions in monocyte and lymphocyte counts beginning at the 0.1 mg/kg dose level, with effects greater than those observed in placebo-treated participants at all dose levels at or above 0.1 mg/kg. In the multi-dose cohorts, repeated dosing demonstrated that these effects occurred with each dose, supporting the intended PD activity of ipsoprubart in humans. </w:t>
      </w:r>
    </w:p>
    <w:p>
      <w:pPr>
        <w:pStyle w:val="TextBody"/>
        <w:bidi w:val="0"/>
        <w:spacing w:before="180" w:after="0"/>
        <w:jc w:val="left"/>
        <w:rPr>
          <w:rFonts w:ascii="Arial" w:hAnsi="Arial"/>
          <w:sz w:val="19"/>
        </w:rPr>
      </w:pPr>
      <w:r>
        <w:rPr>
          <w:rFonts w:ascii="Arial" w:hAnsi="Arial"/>
          <w:sz w:val="19"/>
        </w:rPr>
        <w:t xml:space="preserve">PK modeling based on plasma concentration data from this trial supports a twice-weekly dosing regimen of 0.5 mg/kg, which we predict will maintain steady-state plasma concentrations above the PD threshold of 0.1 µg/mL with minimal drug accumulation. </w:t>
      </w:r>
    </w:p>
    <w:p>
      <w:pPr>
        <w:pStyle w:val="TextBody"/>
        <w:bidi w:val="0"/>
        <w:spacing w:before="80" w:after="0"/>
        <w:jc w:val="left"/>
        <w:rPr>
          <w:rFonts w:ascii="Arial" w:hAnsi="Arial"/>
          <w:b/>
          <w:i/>
          <w:sz w:val="19"/>
        </w:rPr>
      </w:pPr>
      <w:r>
        <w:rPr>
          <w:rFonts w:ascii="Arial" w:hAnsi="Arial"/>
          <w:b/>
          <w:i/>
          <w:sz w:val="19"/>
        </w:rPr>
        <w:t xml:space="preserve">Our Completed Phase 1b Trial in sHLH </w:t>
      </w:r>
    </w:p>
    <w:p>
      <w:pPr>
        <w:pStyle w:val="TextBody"/>
        <w:bidi w:val="0"/>
        <w:spacing w:before="40" w:after="0"/>
        <w:jc w:val="left"/>
        <w:rPr>
          <w:rFonts w:ascii="Arial" w:hAnsi="Arial"/>
          <w:sz w:val="19"/>
        </w:rPr>
      </w:pPr>
      <w:r>
        <w:rPr>
          <w:rFonts w:ascii="Arial" w:hAnsi="Arial"/>
          <w:sz w:val="19"/>
        </w:rPr>
        <w:t xml:space="preserve">We completed a Phase 1b open-label, single-arm, multicenter trial in 22 patients with sHLH, evaluating the safety, efficacy, PK, and PD of ipsoprubart and identifying a dose regimen for further clinical evaluation. The trial was commenced in May 2022 with the last known follow-up with a living patient in March 2025, with no further follow-up anticipated. We believe this completed trial demonstrated compelling clinical proof-of-concept for ipsoprubart, reflecting its potential in treating sHLH broadly, regardless of the trigger. Ipsoprubart was evaluated across three sequential cohorts that informed both the patient population and the dosing regimen advanced into our ongoing Phase 2/3 program. </w:t>
      </w:r>
    </w:p>
    <w:p>
      <w:pPr>
        <w:pStyle w:val="TextBody"/>
        <w:bidi w:val="0"/>
        <w:spacing w:before="80" w:after="0"/>
        <w:jc w:val="left"/>
        <w:rPr>
          <w:rFonts w:ascii="Arial" w:hAnsi="Arial"/>
          <w:i/>
          <w:sz w:val="19"/>
        </w:rPr>
      </w:pPr>
      <w:r>
        <w:rPr>
          <w:rFonts w:ascii="Arial" w:hAnsi="Arial"/>
          <w:i/>
          <w:sz w:val="19"/>
        </w:rPr>
        <w:t xml:space="preserve">Trial Design and Population Evolution </w:t>
      </w:r>
    </w:p>
    <w:p>
      <w:pPr>
        <w:pStyle w:val="TextBody"/>
        <w:bidi w:val="0"/>
        <w:spacing w:before="40" w:after="0"/>
        <w:jc w:val="left"/>
        <w:rPr>
          <w:rFonts w:ascii="Arial" w:hAnsi="Arial"/>
          <w:sz w:val="19"/>
        </w:rPr>
      </w:pPr>
      <w:r>
        <w:rPr>
          <w:rFonts w:ascii="Arial" w:hAnsi="Arial"/>
          <w:sz w:val="19"/>
        </w:rPr>
        <w:t xml:space="preserve">Across the Phase 1b trial, 22 patients with sHLH received ipsoprubart across three cohorts. Cohort 1 evaluated daily dose escalation of ipsoprubart from 0.1 to 3.0 mg/kg IV. Cohort 2 evaluated a priming dose (0.1 mg/kg IV) and three daily loading doses (0.3 mg/kg IV), followed by 1.0 mg/kg weekly maintenance dosing (SC or IV). Cohort 3 evaluated the same priming and loading regimen as Cohort 2, followed by 0.5 mg/kg administered twice weekly. These cohorts informed the dosing regimen selected for further ipsoprubart clinical development in sHLH, consisting of a 0.1 mg/kg priming dose, followed by three 0.3 mg/kg daily loading doses, followed by twice-weekly 0.5 mg/kg maintenance dosing, administered SC or IV over a 12-week treatment course, with dexamethasone as background therapy. In our Phase 1b trial, the 0.3 mg/kg loading doses rapidly achieved clinically meaningful drug concentrations, and 0.5 mg/kg maintenance dosing sustained levels above the target threshold of 0.1 µg/mL throughout the treatment course. </w:t>
      </w:r>
    </w:p>
    <w:p>
      <w:pPr>
        <w:pStyle w:val="TextBody"/>
        <w:bidi w:val="0"/>
        <w:spacing w:before="180" w:after="0"/>
        <w:jc w:val="left"/>
        <w:rPr>
          <w:rFonts w:ascii="Arial" w:hAnsi="Arial"/>
          <w:sz w:val="19"/>
        </w:rPr>
      </w:pPr>
      <w:r>
        <w:rPr>
          <w:rFonts w:ascii="Arial" w:hAnsi="Arial"/>
          <w:sz w:val="19"/>
        </w:rPr>
        <w:t xml:space="preserve">Cohorts 1 and 2 enrolled a total of 12 patients who were either treatment-naïve or relapsed/refractory to prior HLH-directed therapy. Across these cohorts, the ORR was 75% (9/12) by Week 4. Response was defined as either CR, modified CR (mCR), partial response (PR), or HLH improvement (HI), with no progression of other aspects of HLH disease pathology. A CR is defined as resolution of all clinically relevant manifestations of HLH, including fever, splenomegaly, cytopenias, hyperferritinemia, coagulopathy, neurologic abnormalities, and cerebrospinal fluid abnormalities, as applicable, and absence of sustained worsening in sCD25 levels. An mCR is equivalent to CR except that normalization of splenomegaly and cytopenias is not required. A PR is achieved when at least three HLH abnormalities meet CR criteria and there is no progression of other aspects of HLH disease pathology. HI is defined as a &gt;50% improvement from baseline in at least three HLH clinical or laboratory abnormalities. </w:t>
      </w:r>
    </w:p>
    <w:p>
      <w:pPr>
        <w:pStyle w:val="TextBody"/>
        <w:bidi w:val="0"/>
        <w:spacing w:before="180" w:after="0"/>
        <w:jc w:val="left"/>
        <w:rPr>
          <w:rFonts w:ascii="Arial" w:hAnsi="Arial"/>
          <w:sz w:val="19"/>
        </w:rPr>
      </w:pPr>
      <w:r>
        <w:rPr>
          <w:rFonts w:ascii="Arial" w:hAnsi="Arial"/>
          <w:sz w:val="19"/>
        </w:rPr>
        <w:t>Data from Cohorts 1 and 2 demonstrated a marked divergence in survival between the two populations, where treatment-naïve patients achieved a median OS (mOS) of 152 days (approximately 22 weeks) and the relapsed/</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refractory patients, who received prior therapies, typically presented with more advanced multiorgan failure from prolonged sHLH activity, had a mOS of 24 days. Based on these findings, the independent Data Monitoring Committee (DMC) recommended that the trial be redirected to focus on frontline treatment with ipsoprubart. </w:t>
      </w:r>
    </w:p>
    <w:p>
      <w:pPr>
        <w:pStyle w:val="TextBody"/>
        <w:bidi w:val="0"/>
        <w:spacing w:before="180" w:after="0"/>
        <w:jc w:val="left"/>
        <w:rPr>
          <w:rFonts w:ascii="Arial" w:hAnsi="Arial"/>
          <w:sz w:val="19"/>
        </w:rPr>
      </w:pPr>
      <w:r>
        <w:rPr>
          <w:rFonts w:ascii="Arial" w:hAnsi="Arial"/>
          <w:sz w:val="19"/>
        </w:rPr>
        <w:t xml:space="preserve">Cohort 3 enrolled 10 patients in the frontline setting who were either treatment-naïve or early refractory, defined as having received less than one week of prior HLH-directed therapy without sufficient clinical or laboratory response. The schematics of our Phase 1b trial design are shown in the figure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1644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75960" cy="1644650"/>
                    </a:xfrm>
                    <a:prstGeom prst="rect">
                      <a:avLst/>
                    </a:prstGeom>
                  </pic:spPr>
                </pic:pic>
              </a:graphicData>
            </a:graphic>
          </wp:inline>
        </w:drawing>
      </w:r>
      <w:r>
        <w:rPr/>
        <w:t xml:space="preserve"> </w:t>
      </w:r>
    </w:p>
    <w:p>
      <w:pPr>
        <w:pStyle w:val="TextBody"/>
        <w:bidi w:val="0"/>
        <w:spacing w:before="80" w:after="0"/>
        <w:jc w:val="left"/>
        <w:rPr>
          <w:rFonts w:ascii="Arial" w:hAnsi="Arial"/>
          <w:i/>
          <w:sz w:val="17"/>
        </w:rPr>
      </w:pPr>
      <w:r>
        <w:rPr>
          <w:rFonts w:ascii="Arial" w:hAnsi="Arial"/>
          <w:i/>
          <w:sz w:val="17"/>
        </w:rPr>
        <w:t xml:space="preserve">TN: Treatment Naïve; R/R: Relapsed / Refractory </w:t>
      </w:r>
    </w:p>
    <w:p>
      <w:pPr>
        <w:pStyle w:val="TextBody"/>
        <w:bidi w:val="0"/>
        <w:spacing w:before="180" w:after="0"/>
        <w:jc w:val="left"/>
        <w:rPr>
          <w:rFonts w:ascii="Arial" w:hAnsi="Arial"/>
          <w:i/>
          <w:sz w:val="19"/>
        </w:rPr>
      </w:pPr>
      <w:r>
        <w:rPr>
          <w:rFonts w:ascii="Arial" w:hAnsi="Arial"/>
          <w:i/>
          <w:sz w:val="19"/>
        </w:rPr>
        <w:t xml:space="preserve">Baseline Characteristics of Frontline mHLH Population </w:t>
      </w:r>
    </w:p>
    <w:p>
      <w:pPr>
        <w:pStyle w:val="TextBody"/>
        <w:bidi w:val="0"/>
        <w:spacing w:before="40" w:after="0"/>
        <w:jc w:val="left"/>
        <w:rPr>
          <w:rFonts w:ascii="Arial" w:hAnsi="Arial"/>
          <w:sz w:val="19"/>
        </w:rPr>
      </w:pPr>
      <w:r>
        <w:rPr>
          <w:rFonts w:ascii="Arial" w:hAnsi="Arial"/>
          <w:sz w:val="19"/>
        </w:rPr>
        <w:t xml:space="preserve">We assessed clinical activity of ipsoprubart in mHLH, which represents the majority of patients enrolled in our Phase 1b trial and accounts for approximately 45% of all sHLH cases. The Phase 1b trial was broad at the outset and enrolled both treatment-naïve and relapsed/refractory sHLH patients across cohorts to characterize safety, PK/PD, dose regimen, and early clinical activity. The clinical activity analysis was focused on the 12 frontline mHLH patients because this is the largest subset and represented the most clinically interpretable population and most directly informed the primary efficacy population for the registrational trial. </w:t>
      </w:r>
    </w:p>
    <w:p>
      <w:pPr>
        <w:pStyle w:val="TextBody"/>
        <w:bidi w:val="0"/>
        <w:spacing w:before="180" w:after="0"/>
        <w:jc w:val="left"/>
        <w:rPr>
          <w:rFonts w:ascii="Arial" w:hAnsi="Arial"/>
          <w:sz w:val="19"/>
        </w:rPr>
      </w:pPr>
      <w:r>
        <w:rPr>
          <w:rFonts w:ascii="Arial" w:hAnsi="Arial"/>
          <w:sz w:val="19"/>
        </w:rPr>
        <w:t xml:space="preserve">The baseline characteristics of the 12 frontline mHLH patients were generally representative of, and in several respects more severe than, the broader mHLH population.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10 of the 12 patients had lymphoma as their underlying malignancy trigger.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Of the 10, 7 had T cell lymphoma, a subtype associated with poor outcomes independent of sHLH.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5 of the 12 patients had relapsed/refractory underlying malignancy at enrollment, an independent adverse prognostic factor. </w:t>
            </w:r>
          </w:p>
        </w:tc>
      </w:tr>
    </w:tbl>
    <w:p>
      <w:pPr>
        <w:pStyle w:val="TextBody"/>
        <w:bidi w:val="0"/>
        <w:spacing w:before="180" w:after="0"/>
        <w:jc w:val="left"/>
        <w:rPr>
          <w:rFonts w:ascii="Arial" w:hAnsi="Arial"/>
          <w:sz w:val="19"/>
        </w:rPr>
      </w:pPr>
      <w:r>
        <w:rPr>
          <w:rFonts w:ascii="Arial" w:hAnsi="Arial"/>
          <w:sz w:val="19"/>
        </w:rPr>
        <w:t xml:space="preserve">More details on baseline characteristics of the frontline mHLH patient population in the Phase 1b trial are summarized in the table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4262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65800" cy="14262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100% Overall Survival at Week 8 in Frontline mHLH Population </w:t>
      </w:r>
    </w:p>
    <w:p>
      <w:pPr>
        <w:pStyle w:val="TextBody"/>
        <w:bidi w:val="0"/>
        <w:spacing w:before="40" w:after="0"/>
        <w:jc w:val="left"/>
        <w:rPr>
          <w:rFonts w:ascii="Arial" w:hAnsi="Arial"/>
          <w:sz w:val="19"/>
        </w:rPr>
      </w:pPr>
      <w:r>
        <w:rPr>
          <w:rFonts w:ascii="Arial" w:hAnsi="Arial"/>
          <w:sz w:val="19"/>
        </w:rPr>
        <w:t xml:space="preserve">Frontline ipsoprubart treatment produced a 100% OS rate at 8 weeks, from the time of diagnosis, as shown in the Kaplan Meier survival curve below. Notably, deaths occurring beyond 8 weeks were commonly attributed to the underlying refractory malignancy, and not to HLH.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38195" cy="3095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338195" cy="3095625"/>
                    </a:xfrm>
                    <a:prstGeom prst="rect">
                      <a:avLst/>
                    </a:prstGeom>
                  </pic:spPr>
                </pic:pic>
              </a:graphicData>
            </a:graphic>
          </wp:inline>
        </w:drawing>
      </w:r>
      <w:r>
        <w:rPr/>
        <w:t xml:space="preserve"> </w:t>
      </w:r>
    </w:p>
    <w:p>
      <w:pPr>
        <w:pStyle w:val="TextBody"/>
        <w:bidi w:val="0"/>
        <w:spacing w:before="80" w:after="0"/>
        <w:jc w:val="left"/>
        <w:rPr>
          <w:rFonts w:ascii="Arial" w:hAnsi="Arial"/>
          <w:i/>
          <w:sz w:val="19"/>
        </w:rPr>
      </w:pPr>
      <w:r>
        <w:rPr>
          <w:rFonts w:ascii="Arial" w:hAnsi="Arial"/>
          <w:i/>
          <w:sz w:val="19"/>
        </w:rPr>
        <w:t xml:space="preserve">100% Overall Response and 100% Hospital Discharge in Frontline mHLH Population </w:t>
      </w:r>
    </w:p>
    <w:p>
      <w:pPr>
        <w:pStyle w:val="TextBody"/>
        <w:bidi w:val="0"/>
        <w:spacing w:before="40" w:after="0"/>
        <w:jc w:val="left"/>
        <w:rPr>
          <w:rFonts w:ascii="Arial" w:hAnsi="Arial"/>
          <w:sz w:val="19"/>
        </w:rPr>
      </w:pPr>
      <w:r>
        <w:rPr>
          <w:rFonts w:ascii="Arial" w:hAnsi="Arial"/>
          <w:sz w:val="19"/>
        </w:rPr>
        <w:t xml:space="preserve">Frontline ipsoprubart treatment produced a 100% ORR by the Week 4 assessment in mHLH patients, as assessed by modified HLH-2004 response criteria. This reflects improvement or resolution of the clinical and laboratory features associated with the initial sHLH diagnosis. Of the 12 evaluable patients at the Week 4 assessment, 10 achieved a PR and two achieved an mCR. Notably, the modified HLH-2004 response criteria were developed for use in pHLH, rather than mHLH. Consequently, CR may not have been achievable in some patients in our trial because CR criteria requires normalization of variables, such as ferritin levels, which can remain affected by the underlying malignancy or ongoing chemotherapy, even when HLH disease activity is effectively controlled. </w:t>
      </w:r>
    </w:p>
    <w:p>
      <w:pPr>
        <w:pStyle w:val="TextBody"/>
        <w:bidi w:val="0"/>
        <w:spacing w:before="180" w:after="0"/>
        <w:jc w:val="left"/>
        <w:rPr>
          <w:rFonts w:ascii="Arial" w:hAnsi="Arial"/>
          <w:sz w:val="19"/>
        </w:rPr>
      </w:pPr>
      <w:r>
        <w:rPr>
          <w:rFonts w:ascii="Arial" w:hAnsi="Arial"/>
          <w:sz w:val="19"/>
        </w:rPr>
        <w:t xml:space="preserve">Ipsoprubart also produced a 100% hospital discharge rate amongst 11 frontline mHLH patients evaluable for discharge (one patient withdrew prior to discharge assessment), which we view as a meaningful endpoint in terms of both clinical and health economic outcomes. Surviving the initial hospitalization reflects stabilization of the hyperinflammation in sHLH and is a prerequisite for deriving longer-term benefit. It enables completion of a diagnostic evaluation, informed treatment decision-making with patients and their families, and initiation of definitive anti-cancer therapy. Transition from inpatient to outpatient care may also reduce healthcare resource utilization and costs. </w:t>
      </w:r>
    </w:p>
    <w:p>
      <w:pPr>
        <w:pStyle w:val="TextBody"/>
        <w:bidi w:val="0"/>
        <w:spacing w:before="80" w:after="0"/>
        <w:jc w:val="left"/>
        <w:rPr>
          <w:rFonts w:ascii="Arial" w:hAnsi="Arial"/>
          <w:i/>
          <w:sz w:val="19"/>
        </w:rPr>
      </w:pPr>
      <w:r>
        <w:rPr>
          <w:rFonts w:ascii="Arial" w:hAnsi="Arial"/>
          <w:i/>
          <w:sz w:val="19"/>
        </w:rPr>
        <w:t xml:space="preserve">Rapid Improvement of Pharmacodynamic Biomarkers in Frontline mHLH Population </w:t>
      </w:r>
    </w:p>
    <w:p>
      <w:pPr>
        <w:pStyle w:val="TextBody"/>
        <w:bidi w:val="0"/>
        <w:spacing w:before="40" w:after="0"/>
        <w:jc w:val="left"/>
        <w:rPr>
          <w:rFonts w:ascii="Arial" w:hAnsi="Arial"/>
          <w:sz w:val="19"/>
        </w:rPr>
      </w:pPr>
      <w:r>
        <w:rPr>
          <w:rFonts w:ascii="Arial" w:hAnsi="Arial"/>
          <w:sz w:val="19"/>
        </w:rPr>
        <w:t xml:space="preserve">PD data support our belief that ipsoprubart acts by depleting pathogenic immune cells in sHLH and has the potential to rapidly normalize inflammatory disease activity. As shown in the figure below, we observed deep reductions across three biomarkers central to sHLH pathophysiology: a 61% median reduction in ferritin; a 69% median reduction in sCD25; and an 83% median reduction in C-reactive protein (CRP). Ferritin and sCD25 are markers of macrophage and T cell activation, respectively, and represent two of the eight HLH-2004 diagnostic criteria, and CRP is a marker of systemic inflammation. These biomarker reductions were rapid following treatment initiation. In seven mHLH patients with chemotherapy-free treatment windows, ipsoprubart produced average reductions of approximately 40% in ferritin and 50% in CRP by Day 6 of treatment.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20995" cy="464566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20995" cy="464566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In addition, we observed reductions in HLH-associated inflammatory cytokines of patients whose samples were available for analysis, including interferon-</w:t>
      </w:r>
      <w:r>
        <w:rPr>
          <w:rFonts w:ascii="SYMBOL" w:hAnsi="SYMBOL"/>
          <w:sz w:val="19"/>
        </w:rPr>
        <w:t>g</w:t>
      </w:r>
      <w:r>
        <w:rPr>
          <w:rFonts w:ascii="Arial" w:hAnsi="Arial"/>
          <w:sz w:val="19"/>
        </w:rPr>
        <w:t xml:space="preserve">, C-X-C motif chemokine ligand (CXCL10), IL-8, IL-10, IL-18, and CXCL9, that correlated with clinical response. Cytokine data are presented as fold change from baseline for mHLH patients treated with ipsoprubart in the frontline setting. Values were normalized to baseline and are shown as fold increases (red) or fold reductions (green) relative to the baseline sample at each study day.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10941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8500" cy="1094105"/>
                    </a:xfrm>
                    <a:prstGeom prst="rect">
                      <a:avLst/>
                    </a:prstGeom>
                  </pic:spPr>
                </pic:pic>
              </a:graphicData>
            </a:graphic>
          </wp:inline>
        </w:drawing>
      </w:r>
      <w:r>
        <w:rPr/>
        <w:t xml:space="preserve"> </w:t>
      </w:r>
    </w:p>
    <w:p>
      <w:pPr>
        <w:pStyle w:val="TextBody"/>
        <w:bidi w:val="0"/>
        <w:spacing w:before="80" w:after="0"/>
        <w:jc w:val="left"/>
        <w:rPr>
          <w:rFonts w:ascii="Arial" w:hAnsi="Arial"/>
          <w:b/>
          <w:i/>
          <w:sz w:val="19"/>
        </w:rPr>
      </w:pPr>
      <w:r>
        <w:rPr>
          <w:rFonts w:ascii="Arial" w:hAnsi="Arial"/>
          <w:b/>
          <w:i/>
          <w:sz w:val="19"/>
        </w:rPr>
        <w:t xml:space="preserve">Two Case Studies Highlight Ipsoprubart Monotherapy Activity Across sHLH, Including Non-Malignancy Associated Disease </w:t>
      </w:r>
    </w:p>
    <w:p>
      <w:pPr>
        <w:pStyle w:val="TextBody"/>
        <w:bidi w:val="0"/>
        <w:spacing w:before="40" w:after="0"/>
        <w:jc w:val="left"/>
        <w:rPr>
          <w:rFonts w:ascii="Arial" w:hAnsi="Arial"/>
          <w:i/>
          <w:sz w:val="19"/>
        </w:rPr>
      </w:pPr>
      <w:r>
        <w:rPr>
          <w:rFonts w:ascii="Arial" w:hAnsi="Arial"/>
          <w:i/>
          <w:sz w:val="19"/>
        </w:rPr>
        <w:t xml:space="preserve">Complete Response in EBV-triggered sHLH with Frontline Ipsoprubart Monotherapy </w:t>
      </w:r>
    </w:p>
    <w:p>
      <w:pPr>
        <w:pStyle w:val="TextBody"/>
        <w:bidi w:val="0"/>
        <w:spacing w:before="40" w:after="0"/>
        <w:jc w:val="left"/>
        <w:rPr>
          <w:rFonts w:ascii="Arial" w:hAnsi="Arial"/>
          <w:sz w:val="19"/>
        </w:rPr>
      </w:pPr>
      <w:r>
        <w:rPr>
          <w:rFonts w:ascii="Arial" w:hAnsi="Arial"/>
          <w:sz w:val="19"/>
        </w:rPr>
        <w:t xml:space="preserve">Our Phase 1b trial included a patient case of iHLH triggered by Epstein-Barr virus (EBV), which we believe supports the potential applicability of ipsoprubart across sHLH triggers. </w:t>
      </w:r>
    </w:p>
    <w:p>
      <w:pPr>
        <w:pStyle w:val="TextBody"/>
        <w:bidi w:val="0"/>
        <w:spacing w:before="180" w:after="0"/>
        <w:jc w:val="left"/>
        <w:rPr>
          <w:rFonts w:ascii="Arial" w:hAnsi="Arial"/>
          <w:sz w:val="19"/>
        </w:rPr>
      </w:pPr>
      <w:r>
        <w:rPr>
          <w:rFonts w:ascii="Arial" w:hAnsi="Arial"/>
          <w:sz w:val="19"/>
        </w:rPr>
        <w:t xml:space="preserve">A 20-year-old female patient presented with acute EBV infection accompanied by associated neurological symptoms, liver function abnormalities, and severe neutropenia. She was admitted to the hospital, diagnosed with sHLH by a hematologist-oncologist, and was treatment-naïve for sHLH at the time of trial entry.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patient received the Cohort 3 dose regimen and completed a 12-week course of ipsoprubart monotherapy with background dexamethasone. She experienced rapid and clinically meaningful improvement, including resolution of neurological symptoms within days and normalization of ferritin by Week 2. The EBV infection resolved. She achieved an mCR by Week 2 and a confirmed CR by Week 8 as assessed by modified HLH-2004 response criteria. </w:t>
      </w:r>
    </w:p>
    <w:p>
      <w:pPr>
        <w:pStyle w:val="TextBody"/>
        <w:bidi w:val="0"/>
        <w:spacing w:before="180" w:after="0"/>
        <w:jc w:val="left"/>
        <w:rPr>
          <w:rFonts w:ascii="Arial" w:hAnsi="Arial"/>
          <w:sz w:val="19"/>
        </w:rPr>
      </w:pPr>
      <w:r>
        <w:rPr>
          <w:rFonts w:ascii="Arial" w:hAnsi="Arial"/>
          <w:sz w:val="19"/>
        </w:rPr>
        <w:t xml:space="preserve">Following completion of the 12-week treatment course, ipsoprubart was discontinued, and the patient remained in full remission more than one year later. Ipsoprubart was well tolerated throughout treatment, with no adverse events assessed as related to trial drug and no evidence of clinically meaningful neutropenia or thrombocytopenia. </w:t>
      </w:r>
    </w:p>
    <w:p>
      <w:pPr>
        <w:pStyle w:val="TextBody"/>
        <w:bidi w:val="0"/>
        <w:spacing w:before="80" w:after="0"/>
        <w:jc w:val="left"/>
        <w:rPr>
          <w:rFonts w:ascii="Arial" w:hAnsi="Arial"/>
          <w:i/>
          <w:sz w:val="19"/>
        </w:rPr>
      </w:pPr>
      <w:r>
        <w:rPr>
          <w:rFonts w:ascii="Arial" w:hAnsi="Arial"/>
          <w:i/>
          <w:sz w:val="19"/>
        </w:rPr>
        <w:t xml:space="preserve">Complete Response in mHLH Patient Treated with Frontline Ipsoprubart Monotherapy </w:t>
      </w:r>
    </w:p>
    <w:p>
      <w:pPr>
        <w:pStyle w:val="TextBody"/>
        <w:bidi w:val="0"/>
        <w:spacing w:before="40" w:after="0"/>
        <w:jc w:val="left"/>
        <w:rPr>
          <w:rFonts w:ascii="Arial" w:hAnsi="Arial"/>
          <w:sz w:val="19"/>
        </w:rPr>
      </w:pPr>
      <w:r>
        <w:rPr>
          <w:rFonts w:ascii="Arial" w:hAnsi="Arial"/>
          <w:sz w:val="19"/>
        </w:rPr>
        <w:t xml:space="preserve">A 26-year-old male patient presented with sHLH triggered by refractory cutaneous cytotoxic CD8+ T cell lymphoma. The patient presented with bone marrow failure, massive splenomegaly, nodal disease, and transfusion dependence. He had previously received more than five lines of anti-cancer therapy and accessed ipsoprubart through an Expanded Access Program. </w:t>
      </w:r>
    </w:p>
    <w:p>
      <w:pPr>
        <w:pStyle w:val="TextBody"/>
        <w:bidi w:val="0"/>
        <w:spacing w:before="180" w:after="0"/>
        <w:jc w:val="left"/>
        <w:rPr>
          <w:rFonts w:ascii="Arial" w:hAnsi="Arial"/>
          <w:sz w:val="19"/>
        </w:rPr>
      </w:pPr>
      <w:r>
        <w:rPr>
          <w:rFonts w:ascii="Arial" w:hAnsi="Arial"/>
          <w:sz w:val="19"/>
        </w:rPr>
        <w:t xml:space="preserve">The patient received the Cohort 3 dose regimen and ipsoprubart monotherapy, with no added HLH or anti-cancer therapy, for the entire 12-week treatment course. He experienced rapid and clinically meaningful improvement, with palpable spleen reduction within weeks of treatment. There were no adverse events related to ipsoprubart during treatment, and he achieved a complete HLH response by Week 4 and a complete tumor response by Week 13. </w:t>
      </w:r>
    </w:p>
    <w:p>
      <w:pPr>
        <w:pStyle w:val="TextBody"/>
        <w:bidi w:val="0"/>
        <w:spacing w:before="180" w:after="0"/>
        <w:jc w:val="left"/>
        <w:rPr>
          <w:rFonts w:ascii="Arial" w:hAnsi="Arial"/>
          <w:sz w:val="19"/>
        </w:rPr>
      </w:pPr>
      <w:r>
        <w:rPr>
          <w:rFonts w:ascii="Arial" w:hAnsi="Arial"/>
          <w:sz w:val="19"/>
        </w:rPr>
        <w:t xml:space="preserve">Following completion of the 12-week treatment course, ipsoprubart was discontinued. The patient achieved complete HLH and tumor responses and was alive as of the last follow-up, which was about one year later. Additional details of the tumor response are described below in the subsection titled "—Ipsoprubart: Expansion into Hematologic Malignancies." </w:t>
      </w:r>
    </w:p>
    <w:p>
      <w:pPr>
        <w:pStyle w:val="TextBody"/>
        <w:bidi w:val="0"/>
        <w:spacing w:before="180" w:after="0"/>
        <w:jc w:val="left"/>
        <w:rPr>
          <w:rFonts w:ascii="Arial" w:hAnsi="Arial"/>
          <w:sz w:val="19"/>
        </w:rPr>
      </w:pPr>
      <w:r>
        <w:rPr>
          <w:rFonts w:ascii="Arial" w:hAnsi="Arial"/>
          <w:sz w:val="19"/>
        </w:rPr>
        <w:t xml:space="preserve">These two patient cases illustrate the applicability of ipsoprubart across distinct sHLH triggers when administered as monotherapy for 12 weeks. Both patients achieved rapid control of HLH and complete responses. Treatment consisted of a 12-week course of ipsoprubart, administered predominantly in the outpatient setting, and was well tolerated, with no drug-related cytopenias, infections, or other clinically significant adverse events observed. </w:t>
      </w:r>
    </w:p>
    <w:p>
      <w:pPr>
        <w:pStyle w:val="TextBody"/>
        <w:bidi w:val="0"/>
        <w:spacing w:before="80" w:after="0"/>
        <w:jc w:val="left"/>
        <w:rPr>
          <w:rFonts w:ascii="Arial" w:hAnsi="Arial"/>
          <w:b/>
          <w:i/>
          <w:sz w:val="19"/>
        </w:rPr>
      </w:pPr>
      <w:r>
        <w:rPr>
          <w:rFonts w:ascii="Arial" w:hAnsi="Arial"/>
          <w:b/>
          <w:i/>
          <w:sz w:val="19"/>
        </w:rPr>
        <w:t xml:space="preserve">Ipsoprubart Generally Well Tolerated in the Phase 1 Program </w:t>
      </w:r>
    </w:p>
    <w:p>
      <w:pPr>
        <w:pStyle w:val="TextBody"/>
        <w:bidi w:val="0"/>
        <w:spacing w:before="40" w:after="0"/>
        <w:jc w:val="left"/>
        <w:rPr>
          <w:rFonts w:ascii="Arial" w:hAnsi="Arial"/>
          <w:sz w:val="19"/>
        </w:rPr>
      </w:pPr>
      <w:r>
        <w:rPr>
          <w:rFonts w:ascii="Arial" w:hAnsi="Arial"/>
          <w:sz w:val="19"/>
        </w:rPr>
        <w:t xml:space="preserve">Across our Phase 1 and Phase 1b trials, ipsoprubart was generally well tolerated in the population. Among the sHLH population in our Phase 1b trial (n=22), as shown in the table below, the most frequently reported adverse events overall were pyrexia, hyperkalemia, and hypotension, which are consistent with the underlying severity of secondary HLH and its triggers. The most common treatment-related adverse events in the Phase 1b trial included infusion-related reactions, neutropenia (neutrophil count decrease), and thrombocytopenia (platelet count decrease). Infusion-related reactions and their associated symptoms, such as fever, rigors, and chills, were observed primarily with the initial doses and were generally managed with standard premedication and infusion-management practice, consistent with the expected pharmacology of cell-depleting antibodies. Serious adverse events of Grade 5 in our Phase 1b trial occurred predominantly in patients with relapsed/refractory sHLH who presented with multiorgan failure or refractory underlying malignancy at baseline. No Grade 5 event was assessed by the investigator as related to ipsoprubart. We believe the overall safety data set observed in the Phase 1 and Phase 1b trials is consistent with the profile of critically ill sHLH patients.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1126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78500" cy="2112645"/>
                    </a:xfrm>
                    <a:prstGeom prst="rect">
                      <a:avLst/>
                    </a:prstGeom>
                  </pic:spPr>
                </pic:pic>
              </a:graphicData>
            </a:graphic>
          </wp:inline>
        </w:drawing>
      </w:r>
      <w:r>
        <w:rPr/>
        <w:t xml:space="preserve"> </w:t>
      </w:r>
    </w:p>
    <w:p>
      <w:pPr>
        <w:pStyle w:val="TextBody"/>
        <w:bidi w:val="0"/>
        <w:spacing w:before="80" w:after="0"/>
        <w:jc w:val="left"/>
        <w:rPr>
          <w:rFonts w:ascii="Arial" w:hAnsi="Arial"/>
          <w:i/>
          <w:sz w:val="17"/>
        </w:rPr>
      </w:pPr>
      <w:r>
        <w:rPr>
          <w:rFonts w:ascii="Arial" w:hAnsi="Arial"/>
          <w:i/>
          <w:sz w:val="17"/>
        </w:rPr>
        <w:t xml:space="preserve">Treatment emergent adverse events occurring in greater than 15% of patients (n=22). </w:t>
      </w:r>
    </w:p>
    <w:p>
      <w:pPr>
        <w:pStyle w:val="TextBody"/>
        <w:bidi w:val="0"/>
        <w:spacing w:before="80" w:after="0"/>
        <w:jc w:val="left"/>
        <w:rPr>
          <w:rFonts w:ascii="Arial" w:hAnsi="Arial"/>
          <w:b/>
          <w:i/>
          <w:sz w:val="19"/>
        </w:rPr>
      </w:pPr>
      <w:r>
        <w:rPr>
          <w:rFonts w:ascii="Arial" w:hAnsi="Arial"/>
          <w:b/>
          <w:i/>
          <w:sz w:val="19"/>
        </w:rPr>
        <w:t xml:space="preserve">Global Registrational Program Designed to Support Approval of Ipsoprubart for sHLH </w:t>
      </w:r>
    </w:p>
    <w:p>
      <w:pPr>
        <w:pStyle w:val="TextBody"/>
        <w:bidi w:val="0"/>
        <w:spacing w:before="40" w:after="0"/>
        <w:jc w:val="left"/>
        <w:rPr>
          <w:rFonts w:ascii="Arial" w:hAnsi="Arial"/>
          <w:sz w:val="19"/>
        </w:rPr>
      </w:pPr>
      <w:r>
        <w:rPr>
          <w:rFonts w:ascii="Arial" w:hAnsi="Arial"/>
          <w:sz w:val="19"/>
        </w:rPr>
        <w:t xml:space="preserve">Following the positive results from our Phase 1b trial and feedback from the FDA on a pivotal development plan, we initiated a registrational program for ipsoprubart in sHLH consisting of: SURPASS, our global Phase 2/3 registrational trial, and COMPASS, our natural history study designed to provide an external control comparator for SURPASS. </w:t>
      </w:r>
    </w:p>
    <w:p>
      <w:pPr>
        <w:pStyle w:val="TextBody"/>
        <w:bidi w:val="0"/>
        <w:spacing w:before="80" w:after="0"/>
        <w:jc w:val="left"/>
        <w:rPr>
          <w:rFonts w:ascii="Arial" w:hAnsi="Arial"/>
          <w:i/>
          <w:sz w:val="19"/>
        </w:rPr>
      </w:pPr>
      <w:r>
        <w:rPr>
          <w:rFonts w:ascii="Arial" w:hAnsi="Arial"/>
          <w:i/>
          <w:sz w:val="19"/>
        </w:rPr>
        <w:t xml:space="preserve">SURPASS: Global Phase 2/3 Registrational Trial </w:t>
      </w:r>
    </w:p>
    <w:p>
      <w:pPr>
        <w:pStyle w:val="TextBody"/>
        <w:bidi w:val="0"/>
        <w:spacing w:before="40" w:after="0"/>
        <w:jc w:val="left"/>
        <w:rPr>
          <w:rFonts w:ascii="Arial" w:hAnsi="Arial"/>
          <w:sz w:val="19"/>
        </w:rPr>
      </w:pPr>
      <w:r>
        <w:rPr>
          <w:rFonts w:ascii="Arial" w:hAnsi="Arial"/>
          <w:sz w:val="19"/>
        </w:rPr>
        <w:t xml:space="preserve">SURPASS is a global, open-label, single-arm, multicenter, external-controlled Phase 2/3 registrational trial evaluating ipsoprubart in adult and pediatric patients with newly diagnosed, treatment-naïve sHLH enrolled into two cohorts: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Cohort A (primary cohort) includes patients with newly diagnosed, treatment-naïve mHLH diagnosed by HLH-2004 criteria and triggered by any malignancy. Of the up to 70 patients to be enrolled in Cohort A, we expect to enroll approximately 47 evaluable patients with lymphoma-associated HLH (LA-HLH), which will serve as the primary efficacy analysis population. LA-HLH is the largest subset of mHLH patients and represented 83% (10 of 12) of the treatment-naïve mHLH patients enrolled in our Phase 1b trial. By designating LA-HLH as the primary efficacy analysis population, we aim to reduce clinical heterogeneity and enable a focused propensity score-weighted analysis against a comparable external control population captured in COMPASS.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Cohort B (exploratory cohort) includes patients across three subpopulations to generate additional safety and efficacy experience in: (1) adults aged 18 years and older with non-malignancy-associated sHLH, (2) adults aged 18 years or older with mHLH diagnosed by OHI criteria but not meeting HLH-2004 criteria; and (3) pediatric patients aged 6 to 17 years with newly diagnosed sHLH of any trigger. Enrollment in pediatric patients aged 6 to 12 years will be governed by a DMC-supervised safety lead-in cohort. Within Cohort B, we plan to enroll up to 50 patients. </w:t>
            </w:r>
          </w:p>
        </w:tc>
      </w:tr>
    </w:tbl>
    <w:p>
      <w:pPr>
        <w:pStyle w:val="TextBody"/>
        <w:bidi w:val="0"/>
        <w:spacing w:before="80" w:after="0"/>
        <w:jc w:val="left"/>
        <w:rPr>
          <w:rFonts w:ascii="Arial" w:hAnsi="Arial"/>
          <w:i/>
          <w:sz w:val="19"/>
        </w:rPr>
      </w:pPr>
      <w:r>
        <w:rPr>
          <w:rFonts w:ascii="Arial" w:hAnsi="Arial"/>
          <w:i/>
          <w:sz w:val="19"/>
        </w:rPr>
        <w:t xml:space="preserve">COMPASS: Natural History Study and External Control Comparator </w:t>
      </w:r>
    </w:p>
    <w:p>
      <w:pPr>
        <w:pStyle w:val="TextBody"/>
        <w:bidi w:val="0"/>
        <w:spacing w:before="40" w:after="0"/>
        <w:jc w:val="left"/>
        <w:rPr>
          <w:rFonts w:ascii="Arial" w:hAnsi="Arial"/>
          <w:sz w:val="19"/>
        </w:rPr>
      </w:pPr>
      <w:r>
        <w:rPr>
          <w:rFonts w:ascii="Arial" w:hAnsi="Arial"/>
          <w:sz w:val="19"/>
        </w:rPr>
        <w:t xml:space="preserve">COMPASS is a retrospective natural history study that is designed to provide an external control comparator for the SURPASS primary efficacy analysis. COMPASS is designed to characterize clinical outcomes in patients with sHLH treated with currently available therapies, which are not currently approved specifically for sHLH, under real-world conditions. The study identifies patients with HLH from electronic medical records at participating institutions, confirms the sHLH diagnosis through clinical adjudication and chart review, and applies similar eligibility criteria as the SURPASS LA-HLH primary efficacy analysis population. COMPASS is designed to provide at least 94 LA-HLH patients to serve as the external control comparator. </w:t>
      </w:r>
    </w:p>
    <w:p>
      <w:pPr>
        <w:pStyle w:val="TextBody"/>
        <w:bidi w:val="0"/>
        <w:spacing w:before="80" w:after="0"/>
        <w:jc w:val="left"/>
        <w:rPr>
          <w:rFonts w:ascii="Arial" w:hAnsi="Arial"/>
          <w:i/>
          <w:sz w:val="19"/>
        </w:rPr>
      </w:pPr>
      <w:r>
        <w:rPr>
          <w:rFonts w:ascii="Arial" w:hAnsi="Arial"/>
          <w:i/>
          <w:sz w:val="19"/>
        </w:rPr>
        <w:t xml:space="preserve">Primary Endpoint and Analytical Approach </w:t>
      </w:r>
    </w:p>
    <w:p>
      <w:pPr>
        <w:pStyle w:val="TextBody"/>
        <w:bidi w:val="0"/>
        <w:spacing w:before="40" w:after="0"/>
        <w:jc w:val="left"/>
        <w:rPr>
          <w:rFonts w:ascii="Arial" w:hAnsi="Arial"/>
          <w:sz w:val="19"/>
        </w:rPr>
      </w:pPr>
      <w:r>
        <w:rPr>
          <w:rFonts w:ascii="Arial" w:hAnsi="Arial"/>
          <w:sz w:val="19"/>
        </w:rPr>
        <w:t xml:space="preserve">The primary endpoint of SURPASS is 8-week OS from time of sHLH diagnosis in the LA-HLH population, compared against a propensity-score-weighted external control population from COMPASS. The propensity-score-weighted analytical framework governing the comparison between SURPASS and COMPASS is pre-specified in a statistical analysis plan developed in consultation with the FDA.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8-week timepoint was selected as the primary endpoint because: (1) it captures the period of greatest HLH-related mortality, during which the treatment effect of ipsoprubart on the underlying immune dysregulation is most directly observable; (2) it balances the time needed to demonstrate a meaningful treatment effect against the period beyond which competing mortality events, such as malignancy progression or chemotherapy-related toxicity, become significant confounders; and (3) it is supported by the observation in our Phase 1b trial that deaths occurring beyond Week 8 were attributed to the underlying malignancy, rather than HLH. The analytical framework applies propensity score methodology to adjust for differences in key baseline covariates between the SURPASS and COMPASS patient populations. </w:t>
      </w:r>
    </w:p>
    <w:p>
      <w:pPr>
        <w:pStyle w:val="TextBody"/>
        <w:bidi w:val="0"/>
        <w:spacing w:before="80" w:after="0"/>
        <w:jc w:val="left"/>
        <w:rPr>
          <w:rFonts w:ascii="Arial" w:hAnsi="Arial"/>
          <w:i/>
          <w:sz w:val="19"/>
        </w:rPr>
      </w:pPr>
      <w:r>
        <w:rPr>
          <w:rFonts w:ascii="Arial" w:hAnsi="Arial"/>
          <w:i/>
          <w:sz w:val="19"/>
        </w:rPr>
        <w:t xml:space="preserve">Secondary and Exploratory Endpoints </w:t>
      </w:r>
    </w:p>
    <w:p>
      <w:pPr>
        <w:pStyle w:val="TextBody"/>
        <w:bidi w:val="0"/>
        <w:spacing w:before="40" w:after="0"/>
        <w:jc w:val="left"/>
        <w:rPr>
          <w:rFonts w:ascii="Arial" w:hAnsi="Arial"/>
          <w:sz w:val="19"/>
        </w:rPr>
      </w:pPr>
      <w:r>
        <w:rPr>
          <w:rFonts w:ascii="Arial" w:hAnsi="Arial"/>
          <w:sz w:val="19"/>
        </w:rPr>
        <w:t xml:space="preserve">Secondary endpoints of SURPASS include OS at 30, 45, 56 (the primary endpoint in LA-HLH and secondary endpoint in broader mHLH and sHLH populations), and 90 days; survival status at hospital discharge; best HLH disease response by Day 29 as assessed by modified HLH-2004 criteria; and incidence of treatment-emergent adverse events. Exploratory endpoints include longer-term measures of overall survival, tumor response, PK and PD changes over time, and other clinical outcomes.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5996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75960" cy="2599690"/>
                    </a:xfrm>
                    <a:prstGeom prst="rect">
                      <a:avLst/>
                    </a:prstGeom>
                  </pic:spPr>
                </pic:pic>
              </a:graphicData>
            </a:graphic>
          </wp:inline>
        </w:drawing>
      </w:r>
      <w:r>
        <w:rPr/>
        <w:t xml:space="preserve"> </w:t>
      </w:r>
    </w:p>
    <w:p>
      <w:pPr>
        <w:pStyle w:val="TextBody"/>
        <w:bidi w:val="0"/>
        <w:spacing w:before="80" w:after="0"/>
        <w:jc w:val="left"/>
        <w:rPr>
          <w:rFonts w:ascii="Arial" w:hAnsi="Arial"/>
          <w:sz w:val="12"/>
        </w:rPr>
      </w:pPr>
      <w:r>
        <w:rPr>
          <w:rFonts w:ascii="Arial" w:hAnsi="Arial"/>
          <w:sz w:val="12"/>
        </w:rPr>
        <w:t xml:space="preserve">*Other types of sHLH include: a) non-mHLH subtypes in patients ≥18 years; b) mHLH in patients ≥18 years old, diagnosed by </w:t>
      </w:r>
      <w:r>
        <w:rPr>
          <w:rFonts w:ascii="Arial" w:hAnsi="Arial"/>
          <w:i/>
          <w:sz w:val="12"/>
        </w:rPr>
        <w:t>O</w:t>
      </w:r>
      <w:r>
        <w:rPr>
          <w:rFonts w:ascii="Arial" w:hAnsi="Arial"/>
          <w:sz w:val="12"/>
        </w:rPr>
        <w:t xml:space="preserve">HI+ (optimized HLH index) criteria but not meeting HLH-2004 criteria; c) any sHLH type in patients aged 6 to 17 </w:t>
      </w:r>
    </w:p>
    <w:p>
      <w:pPr>
        <w:pStyle w:val="TextBody"/>
        <w:bidi w:val="0"/>
        <w:spacing w:before="0" w:after="0"/>
        <w:jc w:val="left"/>
        <w:rPr>
          <w:rFonts w:ascii="Arial" w:hAnsi="Arial"/>
          <w:sz w:val="12"/>
        </w:rPr>
      </w:pPr>
      <w:r>
        <w:rPr>
          <w:rFonts w:ascii="Arial" w:hAnsi="Arial"/>
          <w:b/>
          <w:sz w:val="12"/>
        </w:rPr>
        <w:t>1</w:t>
      </w:r>
      <w:r>
        <w:rPr>
          <w:rFonts w:ascii="Arial" w:hAnsi="Arial"/>
          <w:sz w:val="12"/>
        </w:rPr>
        <w:t xml:space="preserve">. HLH patients identified from EMR. </w:t>
      </w:r>
    </w:p>
    <w:p>
      <w:pPr>
        <w:pStyle w:val="TextBody"/>
        <w:bidi w:val="0"/>
        <w:spacing w:before="0" w:after="0"/>
        <w:jc w:val="left"/>
        <w:rPr>
          <w:rFonts w:ascii="Arial" w:hAnsi="Arial"/>
          <w:sz w:val="12"/>
        </w:rPr>
      </w:pPr>
      <w:r>
        <w:rPr>
          <w:rFonts w:ascii="Arial" w:hAnsi="Arial"/>
          <w:b/>
          <w:sz w:val="12"/>
        </w:rPr>
        <w:t>2</w:t>
      </w:r>
      <w:r>
        <w:rPr>
          <w:rFonts w:ascii="Arial" w:hAnsi="Arial"/>
          <w:sz w:val="12"/>
        </w:rPr>
        <w:t xml:space="preserve">. sHLH patients confirmed by clinical adjudication through chart review. </w:t>
      </w:r>
    </w:p>
    <w:p>
      <w:pPr>
        <w:pStyle w:val="TextBody"/>
        <w:bidi w:val="0"/>
        <w:spacing w:before="0" w:after="0"/>
        <w:jc w:val="left"/>
        <w:rPr>
          <w:rFonts w:ascii="Arial" w:hAnsi="Arial"/>
          <w:sz w:val="12"/>
        </w:rPr>
      </w:pPr>
      <w:r>
        <w:rPr>
          <w:rFonts w:ascii="Arial" w:hAnsi="Arial"/>
          <w:b/>
          <w:sz w:val="12"/>
        </w:rPr>
        <w:t>3</w:t>
      </w:r>
      <w:r>
        <w:rPr>
          <w:rFonts w:ascii="Arial" w:hAnsi="Arial"/>
          <w:sz w:val="12"/>
        </w:rPr>
        <w:t xml:space="preserve">. LA-HLH subjects meeting SURPASS inclusion/exclusion criteria selected for historical control. </w:t>
      </w:r>
    </w:p>
    <w:p>
      <w:pPr>
        <w:pStyle w:val="TextBody"/>
        <w:bidi w:val="0"/>
        <w:spacing w:before="80" w:after="0"/>
        <w:jc w:val="left"/>
        <w:rPr>
          <w:rFonts w:ascii="Arial" w:hAnsi="Arial"/>
          <w:i/>
          <w:sz w:val="19"/>
        </w:rPr>
      </w:pPr>
      <w:r>
        <w:rPr>
          <w:rFonts w:ascii="Arial" w:hAnsi="Arial"/>
          <w:i/>
          <w:sz w:val="19"/>
        </w:rPr>
        <w:t xml:space="preserve">Dosing Regimen </w:t>
      </w:r>
    </w:p>
    <w:p>
      <w:pPr>
        <w:pStyle w:val="TextBody"/>
        <w:bidi w:val="0"/>
        <w:spacing w:before="40" w:after="0"/>
        <w:jc w:val="left"/>
        <w:rPr>
          <w:rFonts w:ascii="Arial" w:hAnsi="Arial"/>
          <w:sz w:val="19"/>
        </w:rPr>
      </w:pPr>
      <w:r>
        <w:rPr>
          <w:rFonts w:ascii="Arial" w:hAnsi="Arial"/>
          <w:sz w:val="19"/>
        </w:rPr>
        <w:t xml:space="preserve">SURPASS patients will receive the dosing regimen used in Cohort 3 of our Phase 1b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089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75960" cy="20891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Participants initially receive dexamethasone as premedication and background therapy, with subsequent tapering as clinically appropriate. SOC chemotherapy for the underlying malignancy in mHLH patients is permitted and encouraged. Patients aged 12 years and older who continue to derive clinical benefit at the conclusion of the 12-week treatment course may enter an extension treatment phase at the discretion of their physician and with the approval of the Medical Monitor. Long-term survival follow-up occurs every 12 weeks for up to two years following the end of treatment. </w:t>
      </w:r>
    </w:p>
    <w:p>
      <w:pPr>
        <w:pStyle w:val="TextBody"/>
        <w:bidi w:val="0"/>
        <w:spacing w:before="180" w:after="0"/>
        <w:jc w:val="left"/>
        <w:rPr>
          <w:rFonts w:ascii="Arial" w:hAnsi="Arial"/>
          <w:sz w:val="19"/>
        </w:rPr>
      </w:pPr>
      <w:r>
        <w:rPr>
          <w:rFonts w:ascii="Arial" w:hAnsi="Arial"/>
          <w:sz w:val="19"/>
        </w:rPr>
        <w:t xml:space="preserve">SURPASS is being conducted at approximately 30 clinical sites across the United States and Europe, with enrollment initiated in the second half of 2025. COMPASS is also being conducted across the United States and Europe. We expect topline data from our registrational program in    . Subject to positive results, we intend to submit for regulatory approval of ipsoprubart. </w:t>
      </w:r>
    </w:p>
    <w:p>
      <w:pPr>
        <w:pStyle w:val="TextBody"/>
        <w:bidi w:val="0"/>
        <w:spacing w:before="240" w:after="0"/>
        <w:jc w:val="left"/>
        <w:rPr>
          <w:rFonts w:ascii="Arial" w:hAnsi="Arial"/>
          <w:b/>
          <w:sz w:val="20"/>
        </w:rPr>
      </w:pPr>
      <w:r>
        <w:rPr>
          <w:rFonts w:ascii="Arial" w:hAnsi="Arial"/>
          <w:b/>
          <w:sz w:val="20"/>
        </w:rPr>
        <w:t xml:space="preserve">Significant Unmet Need and Commercial Opportunity in sHLH </w:t>
      </w:r>
    </w:p>
    <w:p>
      <w:pPr>
        <w:pStyle w:val="TextBody"/>
        <w:bidi w:val="0"/>
        <w:spacing w:before="80" w:after="0"/>
        <w:jc w:val="left"/>
        <w:rPr>
          <w:rFonts w:ascii="Arial" w:hAnsi="Arial"/>
          <w:sz w:val="19"/>
        </w:rPr>
      </w:pPr>
      <w:r>
        <w:rPr>
          <w:rFonts w:ascii="Arial" w:hAnsi="Arial"/>
          <w:sz w:val="19"/>
        </w:rPr>
        <w:t xml:space="preserve">We believe ipsoprubart has the potential to meaningfully improve outcomes for patients with sHLH and transform the current treatment paradigm. In our Phase 1b trial, treatment with ipsoprubart in frontline sHLH patients was associated with rapid clinical responses, hospital discharge, and improved survival. We believe these outcomes have the potential to provide meaningful clinical and health economic benefits by reducing the morbidity and mortality associated with uncontrolled hyperinflammation and enabling patients to transition more rapidly from inpatient to outpatient care. </w:t>
      </w:r>
    </w:p>
    <w:p>
      <w:pPr>
        <w:pStyle w:val="TextBody"/>
        <w:bidi w:val="0"/>
        <w:spacing w:before="80" w:after="0"/>
        <w:jc w:val="left"/>
        <w:rPr>
          <w:rFonts w:ascii="Arial" w:hAnsi="Arial"/>
          <w:b/>
          <w:i/>
          <w:sz w:val="19"/>
        </w:rPr>
      </w:pPr>
      <w:r>
        <w:rPr>
          <w:rFonts w:ascii="Arial" w:hAnsi="Arial"/>
          <w:b/>
          <w:i/>
          <w:sz w:val="19"/>
        </w:rPr>
        <w:t xml:space="preserve">Substantial and Growing Addressable Patient Population </w:t>
      </w:r>
    </w:p>
    <w:p>
      <w:pPr>
        <w:pStyle w:val="TextBody"/>
        <w:bidi w:val="0"/>
        <w:spacing w:before="40" w:after="0"/>
        <w:jc w:val="left"/>
        <w:rPr>
          <w:rFonts w:ascii="Arial" w:hAnsi="Arial"/>
          <w:sz w:val="19"/>
        </w:rPr>
      </w:pPr>
      <w:r>
        <w:rPr>
          <w:rFonts w:ascii="Arial" w:hAnsi="Arial"/>
          <w:sz w:val="19"/>
        </w:rPr>
        <w:t xml:space="preserve">Based on our analysis of U.S. claims data using HLH-specific ICD codes, we estimate that approximately 12,600 patients were diagnosed with sHLH in the United States in 2025. Diagnosed incidence increased at an estimated compound annual growth rate of 11.5% from 2021 through 2025. We believe this estimate understates the true burden of disease because it does not capture patients who may be treated without assignment of an HLH-specific ICD code or misdiagnosed or undiagnosed patients. </w:t>
      </w:r>
    </w:p>
    <w:p>
      <w:pPr>
        <w:pStyle w:val="TextBody"/>
        <w:bidi w:val="0"/>
        <w:spacing w:before="180" w:after="0"/>
        <w:jc w:val="left"/>
        <w:rPr>
          <w:rFonts w:ascii="Arial" w:hAnsi="Arial"/>
          <w:sz w:val="19"/>
        </w:rPr>
      </w:pPr>
      <w:r>
        <w:rPr>
          <w:rFonts w:ascii="Arial" w:hAnsi="Arial"/>
          <w:sz w:val="19"/>
        </w:rPr>
        <w:t xml:space="preserve">Recent studies suggest that the prevalence of HLH-associated hyperinflammation may be substantially greater than currently recognized. For example, one study reported that approximately 24% of patients with diffuse large B-cell lymphoma (DLBCL) met OHI diagnostic criteria. DLBCL is the most common aggressive lymphoma and we estimate it accounts for approximately 20,000 new U.S. cases annually. If applied across the broader population of patients with hematologic malignancies, this observation could imply a substantially larger addressable patient population. Additional studies have suggested that approximately 4% to 5% of patients presumed to have sepsis may in fact have underlying sHLH, further highlighting the potential for underdiagnosis. </w:t>
      </w:r>
    </w:p>
    <w:p>
      <w:pPr>
        <w:pStyle w:val="TextBody"/>
        <w:bidi w:val="0"/>
        <w:spacing w:before="180" w:after="0"/>
        <w:jc w:val="left"/>
        <w:rPr>
          <w:rFonts w:ascii="Arial" w:hAnsi="Arial"/>
          <w:sz w:val="19"/>
        </w:rPr>
      </w:pPr>
      <w:r>
        <w:rPr>
          <w:rFonts w:ascii="Arial" w:hAnsi="Arial"/>
          <w:sz w:val="19"/>
        </w:rPr>
        <w:t xml:space="preserve">We believe diagnosed incidence will continue to increase as awareness of sHLH grows, underlying triggering conditions become more prevalent, and simplified diagnostic approaches facilitate earlier recognition and diagnosis. </w:t>
      </w:r>
    </w:p>
    <w:p>
      <w:pPr>
        <w:pStyle w:val="TextBody"/>
        <w:bidi w:val="0"/>
        <w:spacing w:before="80" w:after="0"/>
        <w:jc w:val="left"/>
        <w:rPr>
          <w:rFonts w:ascii="Arial" w:hAnsi="Arial"/>
          <w:b/>
          <w:i/>
          <w:sz w:val="19"/>
        </w:rPr>
      </w:pPr>
      <w:r>
        <w:rPr>
          <w:rFonts w:ascii="Arial" w:hAnsi="Arial"/>
          <w:b/>
          <w:i/>
          <w:sz w:val="19"/>
        </w:rPr>
        <w:t xml:space="preserve">Readily Identifiable Patients and Highly Concentrated Treater Base </w:t>
      </w:r>
    </w:p>
    <w:p>
      <w:pPr>
        <w:pStyle w:val="TextBody"/>
        <w:bidi w:val="0"/>
        <w:spacing w:before="40" w:after="0"/>
        <w:jc w:val="left"/>
        <w:rPr>
          <w:rFonts w:ascii="Arial" w:hAnsi="Arial"/>
          <w:sz w:val="19"/>
        </w:rPr>
      </w:pPr>
      <w:r>
        <w:rPr>
          <w:rFonts w:ascii="Arial" w:hAnsi="Arial"/>
          <w:sz w:val="19"/>
        </w:rPr>
        <w:t xml:space="preserve">Patients with sHLH typically present with persistent fever and other manifestations of rapidly progressive systemic inflammation. The severity and acuity of symptoms generally lead patients to seek urgent medical care, resulting in immediate intervention, laboratory evaluation, and involvement of hematologist-oncologists, who are typically responsible for the diagnosis and management of sHLH both in the outpatient and inpatient settings. </w:t>
      </w:r>
    </w:p>
    <w:p>
      <w:pPr>
        <w:pStyle w:val="TextBody"/>
        <w:bidi w:val="0"/>
        <w:spacing w:before="180" w:after="0"/>
        <w:jc w:val="left"/>
        <w:rPr>
          <w:rFonts w:ascii="Arial" w:hAnsi="Arial"/>
          <w:sz w:val="19"/>
        </w:rPr>
      </w:pPr>
      <w:r>
        <w:rPr>
          <w:rFonts w:ascii="Arial" w:hAnsi="Arial"/>
          <w:sz w:val="19"/>
        </w:rPr>
        <w:t xml:space="preserve">The physician base responsible for treating sHLH is highly concentrated. Hematologist-oncologists serve as the primary treating physicians for the majority of patients. Based on third-party claims analyses, we estimate that approximately 64% of sHLH patients in the United States are treated at academic medical centers and that 200 healthcare organizations account for approximately 51% of all diagnosed sHLH patients. We believe this concentration may support an efficient commercial launch of ipsoprubart through a hematology-oncology focused field organization targeting a relatively small number of physicians and treating institutions. </w:t>
      </w:r>
    </w:p>
    <w:p>
      <w:pPr>
        <w:pStyle w:val="TextBody"/>
        <w:bidi w:val="0"/>
        <w:spacing w:before="80" w:after="0"/>
        <w:jc w:val="left"/>
        <w:rPr>
          <w:rFonts w:ascii="Arial" w:hAnsi="Arial"/>
          <w:b/>
          <w:i/>
          <w:sz w:val="19"/>
        </w:rPr>
      </w:pPr>
      <w:r>
        <w:rPr>
          <w:rFonts w:ascii="Arial" w:hAnsi="Arial"/>
          <w:b/>
          <w:i/>
          <w:sz w:val="19"/>
        </w:rPr>
        <w:t xml:space="preserve">High Unmet Need with No Broadly Approved Therapy </w:t>
      </w:r>
    </w:p>
    <w:p>
      <w:pPr>
        <w:pStyle w:val="TextBody"/>
        <w:bidi w:val="0"/>
        <w:spacing w:before="40" w:after="0"/>
        <w:jc w:val="left"/>
        <w:rPr>
          <w:rFonts w:ascii="Arial" w:hAnsi="Arial"/>
          <w:sz w:val="19"/>
        </w:rPr>
      </w:pPr>
      <w:r>
        <w:rPr>
          <w:rFonts w:ascii="Arial" w:hAnsi="Arial"/>
          <w:sz w:val="19"/>
        </w:rPr>
        <w:t xml:space="preserve">There is currently no established SOC and no approved therapy for the treatment of sHLH broadly. Physicians rely on a heterogeneous combination of corticosteroids, chemotherapy, cytokine inhibitors, and other off-label therapies, yet mortality outcomes have remained poor despite two decades of advances in supportive care and related therapeutic areas. We believe an effective frontline therapy capable of rapidly controlling hyperinflammation and improving survival could address a significant unmet need across the broad sHLH patient population.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Potentially Favorable Orphan Disease Pricing and Access Dynamics </w:t>
      </w:r>
    </w:p>
    <w:p>
      <w:pPr>
        <w:pStyle w:val="TextBody"/>
        <w:bidi w:val="0"/>
        <w:spacing w:before="40" w:after="0"/>
        <w:jc w:val="left"/>
        <w:rPr>
          <w:rFonts w:ascii="Arial" w:hAnsi="Arial"/>
          <w:sz w:val="19"/>
        </w:rPr>
      </w:pPr>
      <w:r>
        <w:rPr>
          <w:rFonts w:ascii="Arial" w:hAnsi="Arial"/>
          <w:sz w:val="19"/>
        </w:rPr>
        <w:t xml:space="preserve">We believe ipsoprubart, if approved, may offer a compelling value proposition for patients, physicians, and payers. Clinically meaningful early response and hospital discharge rates have the potential to reduce progression to multiorgan failure, prolonged intensive care utilization, and other costly complications of uncontrolled disease. In addition, we anticipate that the majority of the treatment course would occur in the outpatient setting following stabilization of the acute disease onset. Given the severity of sHLH, the absence of approved therapies that broadly address the disease, and the potential clinical and health economic benefits of treatment, we believe ipsoprubart may benefit from favorable orphan disease pricing and market access dynamics, if approved. </w:t>
      </w:r>
    </w:p>
    <w:p>
      <w:pPr>
        <w:pStyle w:val="TextBody"/>
        <w:bidi w:val="0"/>
        <w:spacing w:before="240" w:after="0"/>
        <w:jc w:val="left"/>
        <w:rPr>
          <w:rFonts w:ascii="Arial" w:hAnsi="Arial"/>
          <w:b/>
          <w:sz w:val="20"/>
        </w:rPr>
      </w:pPr>
      <w:r>
        <w:rPr>
          <w:rFonts w:ascii="Arial" w:hAnsi="Arial"/>
          <w:b/>
          <w:sz w:val="20"/>
        </w:rPr>
        <w:t xml:space="preserve">Ipsoprubart: Expansion into Hematologic Malignancies </w:t>
      </w:r>
    </w:p>
    <w:p>
      <w:pPr>
        <w:pStyle w:val="TextBody"/>
        <w:bidi w:val="0"/>
        <w:spacing w:before="80" w:after="0"/>
        <w:jc w:val="left"/>
        <w:rPr>
          <w:rFonts w:ascii="Arial" w:hAnsi="Arial"/>
          <w:sz w:val="19"/>
        </w:rPr>
      </w:pPr>
      <w:r>
        <w:rPr>
          <w:rFonts w:ascii="Arial" w:hAnsi="Arial"/>
          <w:sz w:val="19"/>
        </w:rPr>
        <w:t xml:space="preserve">In an exploratory analysis of eight patients treated with ipsoprubart across our Phase 1b trial and Expanded Access Program, we observed a 100% objective tumor response rate and an 88% CR rate by Week 14. One patient treated with ipsoprubart as a monotherapy experienced a CR with respect to both sHLH and the underlying heavily refractory T cell lymphoma. The patient was alive as of the last follow-up, more than one year post treatment. We believe T/NK cell malignancies remain areas of significant unmet medical need, particularly in the relapsed/refractory setting where available therapies demonstrate low CR rates, limited durability, and poor long-term outcomes. We believe these diseases represent a substantial commercial opportunity and we estimate a diagnosed incidence rate of more than 13,000 annually in the United States across the T/NK cell malignancy subtypes. Based on the anti-tumor activity observed in the patients from the Phase 1b trial and Expanded Access Program, we have initiated a Phase 1 clinical trial of ipsoprubart in relapsed/refractory T/NK cell malignancies and expect initial data in    . </w:t>
      </w:r>
    </w:p>
    <w:p>
      <w:pPr>
        <w:pStyle w:val="TextBody"/>
        <w:bidi w:val="0"/>
        <w:spacing w:before="80" w:after="0"/>
        <w:jc w:val="left"/>
        <w:rPr>
          <w:rFonts w:ascii="Arial" w:hAnsi="Arial"/>
          <w:b/>
          <w:i/>
          <w:sz w:val="19"/>
        </w:rPr>
      </w:pPr>
      <w:r>
        <w:rPr>
          <w:rFonts w:ascii="Arial" w:hAnsi="Arial"/>
          <w:b/>
          <w:i/>
          <w:sz w:val="19"/>
        </w:rPr>
        <w:t xml:space="preserve">Ipsoprubart: Clinical Data in Patients with Hematologic Malignancies </w:t>
      </w:r>
    </w:p>
    <w:p>
      <w:pPr>
        <w:pStyle w:val="TextBody"/>
        <w:bidi w:val="0"/>
        <w:spacing w:before="40" w:after="0"/>
        <w:jc w:val="left"/>
        <w:rPr>
          <w:rFonts w:ascii="Arial" w:hAnsi="Arial"/>
          <w:sz w:val="19"/>
        </w:rPr>
      </w:pPr>
      <w:r>
        <w:rPr>
          <w:rFonts w:ascii="Arial" w:hAnsi="Arial"/>
          <w:sz w:val="19"/>
        </w:rPr>
        <w:t xml:space="preserve">Treatment with ipsoprubart in our Phase 1b trial and Expanded Access Program demonstrated anti-tumor activity in sHLH patients with T cell and B cell lymphomas whose tumor responses were evaluated in an exploratory analysis, including patients whose cancer was highly refractory to multiple prior lines of therapy. </w:t>
      </w:r>
    </w:p>
    <w:p>
      <w:pPr>
        <w:pStyle w:val="TextBody"/>
        <w:bidi w:val="0"/>
        <w:spacing w:before="180" w:after="0"/>
        <w:jc w:val="left"/>
        <w:rPr>
          <w:rFonts w:ascii="Arial" w:hAnsi="Arial"/>
          <w:sz w:val="19"/>
        </w:rPr>
      </w:pPr>
      <w:r>
        <w:rPr>
          <w:rFonts w:ascii="Arial" w:hAnsi="Arial"/>
          <w:sz w:val="19"/>
        </w:rPr>
        <w:t>We believe ipsoprubart may induce anti-tumor activity through two complementary mechanisms: (1) direct depletion of SIRP</w:t>
      </w:r>
      <w:r>
        <w:rPr>
          <w:rFonts w:ascii="SYMBOL" w:hAnsi="SYMBOL"/>
          <w:sz w:val="19"/>
        </w:rPr>
        <w:t>g</w:t>
      </w:r>
      <w:r>
        <w:rPr>
          <w:rFonts w:ascii="Arial" w:hAnsi="Arial"/>
          <w:sz w:val="19"/>
        </w:rPr>
        <w:t>-expressing malignant T cells in patients with T cell malignancies, in which the malignant cells themselves may express the target antigen, particularly tumors with an activated T cell phenotype, and (2) depletion of SIRP</w:t>
      </w:r>
      <w:r>
        <w:rPr>
          <w:rFonts w:ascii="SYMBOL" w:hAnsi="SYMBOL"/>
          <w:sz w:val="19"/>
        </w:rPr>
        <w:t>a</w:t>
      </w:r>
      <w:r>
        <w:rPr>
          <w:rFonts w:ascii="Arial" w:hAnsi="Arial"/>
          <w:sz w:val="19"/>
        </w:rPr>
        <w:t>/ß1-expressing myeloid cells and SIRP</w:t>
      </w:r>
      <w:r>
        <w:rPr>
          <w:rFonts w:ascii="SYMBOL" w:hAnsi="SYMBOL"/>
          <w:sz w:val="19"/>
        </w:rPr>
        <w:t>g</w:t>
      </w:r>
      <w:r>
        <w:rPr>
          <w:rFonts w:ascii="Arial" w:hAnsi="Arial"/>
          <w:sz w:val="19"/>
        </w:rPr>
        <w:t xml:space="preserve">-expressing T cells in the tumor microenvironment, potentially reducing immunosuppressive signaling and supporting an enhanced anti-tumor immune response. </w:t>
      </w:r>
    </w:p>
    <w:p>
      <w:pPr>
        <w:pStyle w:val="TextBody"/>
        <w:bidi w:val="0"/>
        <w:spacing w:before="180" w:after="0"/>
        <w:jc w:val="left"/>
        <w:rPr>
          <w:rFonts w:ascii="Arial" w:hAnsi="Arial"/>
          <w:sz w:val="19"/>
        </w:rPr>
      </w:pPr>
      <w:r>
        <w:rPr>
          <w:rFonts w:ascii="Arial" w:hAnsi="Arial"/>
          <w:sz w:val="19"/>
        </w:rPr>
        <w:t xml:space="preserve">A total of eight patients with sHLH and underlying T cell and B cell lymphomas were evaluable for objective tumor response during the early course of ipsoprubart treatment—seven enrolled in our Phase 1b trial and one through an Expanded Access Program. The seven patients treated in the Phase 1b trial, six of whom had relapsed/refractory lymphoma, received ipsoprubart in combination with concomitant lymphoma-directed therapies, including gemcitabine and oxaliplatin, romidepsin, multi-agent chemotherapy, and loncastuximab tesirine. The patient treated under the Expanded Access Program received ipsoprubart monotherapy.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lymphoma subtypes of these eight patients and their best response on treatment with ipsoprubart are summarized in the table below. Of these eight patients, 100% achieved an objective tumor response by Week 14, as assessed by the investigator using standard criteria appropriate for the underlying lymphoma subtype, during their ipsoprubart treatment course. Notably, 88% (7 of 8) of patients achieved a CR by Week 14.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9"/>
        <w:gridCol w:w="122"/>
        <w:gridCol w:w="3924"/>
      </w:tblGrid>
      <w:tr>
        <w:trPr/>
        <w:tc>
          <w:tcPr>
            <w:tcW w:w="61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6159"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LYMPHOMA TYPE / CONTEXT</w:t>
            </w:r>
          </w:p>
        </w:tc>
        <w:tc>
          <w:tcPr>
            <w:tcW w:w="122" w:type="dxa"/>
            <w:tcBorders/>
            <w:vAlign w:val="bottom"/>
          </w:tcPr>
          <w:p>
            <w:pPr>
              <w:pStyle w:val="TableContents"/>
              <w:bidi w:val="0"/>
              <w:spacing w:before="0" w:after="283"/>
              <w:jc w:val="left"/>
              <w:rPr/>
            </w:pPr>
            <w:r>
              <w:rPr/>
              <w:t>  </w:t>
            </w:r>
          </w:p>
        </w:tc>
        <w:tc>
          <w:tcPr>
            <w:tcW w:w="3924"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BEST TUMOR RESPONSE ON IPSOPRUBART BY</w:t>
              <w:br/>
              <w:t>WEEK 14</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Relapsed/refractory peripheral T cell lymphoma, not otherwise specified (PTCL-NOS)</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PTCL-NOS</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Unsustained partial response (uPR)</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Relapsed/refractory angioimmunoblastic T cell lymphoma (AITL)</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AITL</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Nodal complete response (nCR)</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Relapsed/refractory extranodal natural killer/T cell lymphoma (ENKTL)</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diffuse large B cell lymphoma (DLBCL)</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Complete response (CR)</w:t>
            </w:r>
          </w:p>
        </w:tc>
      </w:tr>
      <w:tr>
        <w:trPr/>
        <w:tc>
          <w:tcPr>
            <w:tcW w:w="6159" w:type="dxa"/>
            <w:tcBorders/>
            <w:shd w:fill="CCEEFF" w:val="clear"/>
          </w:tcPr>
          <w:p>
            <w:pPr>
              <w:pStyle w:val="TableContents"/>
              <w:bidi w:val="0"/>
              <w:spacing w:before="0" w:after="0"/>
              <w:jc w:val="left"/>
              <w:rPr>
                <w:rFonts w:ascii="Arial" w:hAnsi="Arial"/>
                <w:sz w:val="19"/>
              </w:rPr>
            </w:pPr>
            <w:r>
              <w:rPr>
                <w:rFonts w:ascii="Arial" w:hAnsi="Arial"/>
                <w:sz w:val="19"/>
              </w:rPr>
              <w:t>Treatment-naïve DLBCL</w:t>
            </w:r>
          </w:p>
        </w:tc>
        <w:tc>
          <w:tcPr>
            <w:tcW w:w="122" w:type="dxa"/>
            <w:tcBorders/>
            <w:shd w:fill="CCEEFF" w:val="clear"/>
            <w:vAlign w:val="bottom"/>
          </w:tcPr>
          <w:p>
            <w:pPr>
              <w:pStyle w:val="TableContents"/>
              <w:bidi w:val="0"/>
              <w:spacing w:before="0" w:after="283"/>
              <w:jc w:val="left"/>
              <w:rPr/>
            </w:pPr>
            <w:r>
              <w:rPr/>
              <w:t>  </w:t>
            </w:r>
          </w:p>
        </w:tc>
        <w:tc>
          <w:tcPr>
            <w:tcW w:w="3924" w:type="dxa"/>
            <w:tcBorders/>
            <w:shd w:fill="CCEEFF" w:val="clear"/>
            <w:vAlign w:val="bottom"/>
          </w:tcPr>
          <w:p>
            <w:pPr>
              <w:pStyle w:val="TableContents"/>
              <w:bidi w:val="0"/>
              <w:spacing w:before="0" w:after="283"/>
              <w:jc w:val="left"/>
              <w:rPr/>
            </w:pPr>
            <w:r>
              <w:rPr/>
              <w:t>Complete response (CR)</w:t>
            </w:r>
          </w:p>
        </w:tc>
      </w:tr>
      <w:tr>
        <w:trPr/>
        <w:tc>
          <w:tcPr>
            <w:tcW w:w="6159" w:type="dxa"/>
            <w:tcBorders/>
          </w:tcPr>
          <w:p>
            <w:pPr>
              <w:pStyle w:val="TableContents"/>
              <w:bidi w:val="0"/>
              <w:spacing w:before="0" w:after="0"/>
              <w:jc w:val="left"/>
              <w:rPr>
                <w:rFonts w:ascii="Arial" w:hAnsi="Arial"/>
                <w:sz w:val="19"/>
              </w:rPr>
            </w:pPr>
            <w:r>
              <w:rPr>
                <w:rFonts w:ascii="Arial" w:hAnsi="Arial"/>
                <w:sz w:val="19"/>
              </w:rPr>
              <w:t>Relapsed/refractory cutaneous CD8+ T cell lymphoma</w:t>
            </w:r>
          </w:p>
        </w:tc>
        <w:tc>
          <w:tcPr>
            <w:tcW w:w="122" w:type="dxa"/>
            <w:tcBorders/>
            <w:vAlign w:val="bottom"/>
          </w:tcPr>
          <w:p>
            <w:pPr>
              <w:pStyle w:val="TableContents"/>
              <w:bidi w:val="0"/>
              <w:spacing w:before="0" w:after="283"/>
              <w:jc w:val="left"/>
              <w:rPr/>
            </w:pPr>
            <w:r>
              <w:rPr/>
              <w:t>  </w:t>
            </w:r>
          </w:p>
        </w:tc>
        <w:tc>
          <w:tcPr>
            <w:tcW w:w="3924" w:type="dxa"/>
            <w:tcBorders/>
            <w:vAlign w:val="bottom"/>
          </w:tcPr>
          <w:p>
            <w:pPr>
              <w:pStyle w:val="TableContents"/>
              <w:bidi w:val="0"/>
              <w:spacing w:before="0" w:after="283"/>
              <w:jc w:val="left"/>
              <w:rPr/>
            </w:pPr>
            <w:r>
              <w:rPr/>
              <w:t>Complete response (CR)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40" w:after="0"/>
        <w:jc w:val="left"/>
        <w:rPr>
          <w:rFonts w:ascii="Arial" w:hAnsi="Arial"/>
          <w:sz w:val="17"/>
        </w:rPr>
      </w:pPr>
      <w:r>
        <w:rPr>
          <w:rFonts w:ascii="Arial" w:hAnsi="Arial"/>
          <w:i/>
          <w:sz w:val="17"/>
        </w:rPr>
        <w:t xml:space="preserve">Responsecategories were assigned at the investigator’s discretion as there was no pre-specified analysis in the protocol. In general, the assigned response definitions have the following meaning: CR (Complete Response): No evidence of disease. nCR (Nodal Complete Response): No evidence of residual disease in lymph nodes (typically based on PET or PET/CT imaging), without necessarily requiring confirmation of bone marrow clearance. PR (Partial Response): A partial reduction in disease burden, typically meeting the criteria for a </w:t>
      </w:r>
      <w:r>
        <w:rPr>
          <w:rFonts w:ascii="Arial" w:hAnsi="Arial"/>
          <w:sz w:val="17"/>
        </w:rPr>
        <w:t>≥</w:t>
      </w:r>
      <w:r>
        <w:rPr>
          <w:rFonts w:ascii="Arial" w:hAnsi="Arial"/>
          <w:i/>
          <w:sz w:val="17"/>
        </w:rPr>
        <w:t xml:space="preserve">50% reduction in measurable disease. Unsustained PR: A patient who initially achieves a partial response but subsequently loses that response (e.g., due to disease progression) before achieving a complete response or maintaining the PR. </w:t>
      </w:r>
    </w:p>
    <w:p>
      <w:pPr>
        <w:pStyle w:val="TextBody"/>
        <w:bidi w:val="0"/>
        <w:spacing w:before="180" w:after="0"/>
        <w:jc w:val="left"/>
        <w:rPr>
          <w:rFonts w:ascii="Arial" w:hAnsi="Arial"/>
          <w:b/>
          <w:i/>
          <w:sz w:val="19"/>
        </w:rPr>
      </w:pPr>
      <w:r>
        <w:rPr>
          <w:rFonts w:ascii="Arial" w:hAnsi="Arial"/>
          <w:b/>
          <w:i/>
          <w:sz w:val="19"/>
        </w:rPr>
        <w:t xml:space="preserve">Case Study: Durable Complete Response in Patient with sHLH Triggered by DLBCL </w:t>
      </w:r>
    </w:p>
    <w:p>
      <w:pPr>
        <w:pStyle w:val="TextBody"/>
        <w:bidi w:val="0"/>
        <w:spacing w:before="40" w:after="0"/>
        <w:jc w:val="left"/>
        <w:rPr>
          <w:rFonts w:ascii="Arial" w:hAnsi="Arial"/>
          <w:sz w:val="19"/>
        </w:rPr>
      </w:pPr>
      <w:r>
        <w:rPr>
          <w:rFonts w:ascii="Arial" w:hAnsi="Arial"/>
          <w:sz w:val="19"/>
        </w:rPr>
        <w:t xml:space="preserve">The patient was a 45-year-old male with sHLH triggered by treatment-naïve T cell/histiocyte-rich DLBCL treated in the Phase 1b trial. He received a 12-week course of ipsoprubart alongside less than 1 month of cyclophosphamide and rituximab treatment, as well as dexamethasone background therapy. Of note, the patient elected for a substantially less intensive chemotherapy regimen, and did not elect for standard-of-care chemotherapy regimen for DLBCL (for example, rituximab in combination with cyclophosphamide, doxorubicin, vincristine, and prednisone or R-CHOP). </w:t>
      </w:r>
    </w:p>
    <w:p>
      <w:pPr>
        <w:pStyle w:val="TextBody"/>
        <w:bidi w:val="0"/>
        <w:spacing w:before="180" w:after="0"/>
        <w:jc w:val="left"/>
        <w:rPr>
          <w:rFonts w:ascii="Arial" w:hAnsi="Arial"/>
          <w:sz w:val="19"/>
        </w:rPr>
      </w:pPr>
      <w:r>
        <w:rPr>
          <w:rFonts w:ascii="Arial" w:hAnsi="Arial"/>
          <w:sz w:val="19"/>
        </w:rPr>
        <w:t xml:space="preserve">The patient achieved an mCR for sHLH and a CR for their DLBCL at Week 8, as demonstrated by the PET-CT images below where the left scan shows the patient’s DLBCL disease activity at baseline and the right scan shows normalization of the PET-CT scan after 8 weeks of ipsoprubart treatment.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4180840" cy="429006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180840" cy="429006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The patient’s DLBCL CR was durable for more than one year as of the patient’s last follow-up. We believe this case is informative because the patient received less than one month of limited-intensity lymphoma therapy, with no anthracycline exposure. In the context of DLBCL, durable CRs are typically associated with multi-agent combination chemotherapy. Taken together, these factors suggest that ipsoprubart may have contributed meaningfully to the durable CR observed in this patient. </w:t>
      </w:r>
    </w:p>
    <w:p>
      <w:pPr>
        <w:pStyle w:val="TextBody"/>
        <w:bidi w:val="0"/>
        <w:spacing w:before="80" w:after="0"/>
        <w:jc w:val="left"/>
        <w:rPr>
          <w:rFonts w:ascii="Arial" w:hAnsi="Arial"/>
          <w:b/>
          <w:i/>
          <w:sz w:val="19"/>
        </w:rPr>
      </w:pPr>
      <w:r>
        <w:rPr>
          <w:rFonts w:ascii="Arial" w:hAnsi="Arial"/>
          <w:b/>
          <w:i/>
          <w:sz w:val="19"/>
        </w:rPr>
        <w:t xml:space="preserve">Case Study: Durable Complete Response in a Patient with T Cell Lymphoma After Ipsoprubart Monotherapy </w:t>
      </w:r>
    </w:p>
    <w:p>
      <w:pPr>
        <w:pStyle w:val="TextBody"/>
        <w:bidi w:val="0"/>
        <w:spacing w:before="40" w:after="0"/>
        <w:jc w:val="left"/>
        <w:rPr>
          <w:rFonts w:ascii="Arial" w:hAnsi="Arial"/>
          <w:sz w:val="19"/>
        </w:rPr>
      </w:pPr>
      <w:r>
        <w:rPr>
          <w:rFonts w:ascii="Arial" w:hAnsi="Arial"/>
          <w:sz w:val="19"/>
        </w:rPr>
        <w:t xml:space="preserve">This patient is the same individual described previously in the subsection titled “—Complete Response in mHLH Patient Treated with Frontline Ipsoprubart Monotherapy.” This 26-year-old male patient presented with sHLH triggered by refractory cutaneous cytotoxic CD8+ T cell lymphoma and had received more than five lines of prior anti-cancer therapy before accessing ipsoprubart through an Expanded Access Program. Additional details regarding the tumor response are provided below. </w:t>
      </w:r>
    </w:p>
    <w:p>
      <w:pPr>
        <w:pStyle w:val="TextBody"/>
        <w:bidi w:val="0"/>
        <w:spacing w:before="180" w:after="0"/>
        <w:jc w:val="left"/>
        <w:rPr>
          <w:rFonts w:ascii="Arial" w:hAnsi="Arial"/>
          <w:sz w:val="19"/>
        </w:rPr>
      </w:pPr>
      <w:r>
        <w:rPr>
          <w:rFonts w:ascii="Arial" w:hAnsi="Arial"/>
          <w:sz w:val="19"/>
        </w:rPr>
        <w:t xml:space="preserve">The patient experienced a complete tumor response following ipsoprubart monotherapy. As shown in the left PET-CT image below, the patient had a massively enlarged spleen of 28.5 cm extending to the pelvis at baseline. Following completion of ipsoprubart treatment, the spleen length decreased to approximately 13.7 cm, as shown in the right PET-CT image taken at Week 13, representing an estimated spleen volume reduction of over 65%.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4883785" cy="416814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883785" cy="416814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 xml:space="preserve">The response was further evidenced by a marked improvement in symptoms and laboratory findings. The patient’s blood cell counts recovered, bone marrow was cleared of lymphoma, and lymph nodes showed reduced fluorodeoxyglucose uptake on PET-CT imaging. The patient remained alive more than one year following ipsoprubart treatment as of the most recent follow-up. </w:t>
      </w:r>
    </w:p>
    <w:p>
      <w:pPr>
        <w:pStyle w:val="TextBody"/>
        <w:bidi w:val="0"/>
        <w:spacing w:before="180" w:after="0"/>
        <w:jc w:val="left"/>
        <w:rPr>
          <w:rFonts w:ascii="Arial" w:hAnsi="Arial"/>
          <w:sz w:val="19"/>
        </w:rPr>
      </w:pPr>
      <w:r>
        <w:rPr>
          <w:rFonts w:ascii="Arial" w:hAnsi="Arial"/>
          <w:sz w:val="19"/>
        </w:rPr>
        <w:t xml:space="preserve">We believe these patient cases support the potential of ipsoprubart to deliver meaningful single-agent activity as well as synergistic effects in combination with a broad range of cancer-directed therapies by targeting both tumor cells and the tumor microenvironment. The depth and durability of the responses observed support further investigation of ipsoprubart in patients with hematologic malignancies. </w:t>
      </w:r>
    </w:p>
    <w:p>
      <w:pPr>
        <w:pStyle w:val="TextBody"/>
        <w:bidi w:val="0"/>
        <w:spacing w:before="80" w:after="0"/>
        <w:jc w:val="left"/>
        <w:rPr>
          <w:rFonts w:ascii="Arial" w:hAnsi="Arial"/>
          <w:b/>
          <w:i/>
          <w:sz w:val="19"/>
        </w:rPr>
      </w:pPr>
      <w:r>
        <w:rPr>
          <w:rFonts w:ascii="Arial" w:hAnsi="Arial"/>
          <w:b/>
          <w:i/>
          <w:sz w:val="19"/>
        </w:rPr>
        <w:t xml:space="preserve">Our Ongoing Phase 1 Clinical Trial of Ipsoprubart in T/NK Cell Malignancies </w:t>
      </w:r>
    </w:p>
    <w:p>
      <w:pPr>
        <w:pStyle w:val="TextBody"/>
        <w:bidi w:val="0"/>
        <w:spacing w:before="40" w:after="0"/>
        <w:jc w:val="left"/>
        <w:rPr>
          <w:rFonts w:ascii="Arial" w:hAnsi="Arial"/>
          <w:sz w:val="19"/>
        </w:rPr>
      </w:pPr>
      <w:r>
        <w:rPr>
          <w:rFonts w:ascii="Arial" w:hAnsi="Arial"/>
          <w:sz w:val="19"/>
        </w:rPr>
        <w:t xml:space="preserve">Based on the anti-tumor activity observed in our Phase 1b trial and Expanded Access Program, we submitted an IND to the FDA, which was allowed to proceed in 2025. We have initiated a Phase 1, two-part, multicenter trial to evaluate ipsoprubart in participants at least 18 years old with relapsed/refractory T/NK cell malignancies following any line of prior therapy who are eligible for investigational treatments. The trial will evaluate the safety, tolerability, PK, PD, and preliminary activity of ipsoprubart. Key efficacy endpoints include overall response, disease control, and overall survival. The trial will begin with an initial dose finding component (Part 1, Phase 1a), enrolling approximately 6 to 18 participants (up to maximum of 24 participants) to identify up to two dosing regimens with an acceptable safety profile. Upon completion of Part 1, the trial will proceed to the cohort expansion phase (Part 2, Phase 1b) to further evaluate these regimens. We expect initial data from this trial in    . </w:t>
      </w:r>
    </w:p>
    <w:p>
      <w:pPr>
        <w:pStyle w:val="TextBody"/>
        <w:bidi w:val="0"/>
        <w:spacing w:before="80" w:after="0"/>
        <w:jc w:val="left"/>
        <w:rPr>
          <w:rFonts w:ascii="Arial" w:hAnsi="Arial"/>
          <w:b/>
          <w:i/>
          <w:sz w:val="19"/>
        </w:rPr>
      </w:pPr>
      <w:r>
        <w:rPr>
          <w:rFonts w:ascii="Arial" w:hAnsi="Arial"/>
          <w:b/>
          <w:i/>
          <w:sz w:val="19"/>
        </w:rPr>
        <w:t xml:space="preserve">Significant Commercial Opportunity in T/NK Cell Malignancies with Strategic Synergies in sHLH </w:t>
      </w:r>
    </w:p>
    <w:p>
      <w:pPr>
        <w:pStyle w:val="TextBody"/>
        <w:bidi w:val="0"/>
        <w:spacing w:before="40" w:after="0"/>
        <w:jc w:val="left"/>
        <w:rPr>
          <w:rFonts w:ascii="Arial" w:hAnsi="Arial"/>
          <w:sz w:val="19"/>
        </w:rPr>
      </w:pPr>
      <w:r>
        <w:rPr>
          <w:rFonts w:ascii="Arial" w:hAnsi="Arial"/>
          <w:sz w:val="19"/>
        </w:rPr>
        <w:t xml:space="preserve">T/NK cell malignancies remain areas of significant unmet medical need, particularly in the relapsed/refractory setting, where currently available therapies are often associated with low complete response rates, limited durability of response, and poor long-term outcomes. Historically reported CR rates to standard chemotherapy in relapsed/refractory peripheral T cell lymphoma can range from approximately 10% to 15%. We believe these diseases represent a substantial commercial opportunity and we estimate a diagnosed incidence rate of more than 13,000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annually in the United States across the T/NK cell malignancy subtypes. In addition, the physicians who diagnose and treat these malignancies are largely the same hematologist-oncologists who manage patients with sHLH, creating potential commercial and operational synergies between applicable indications for ipsoprubart. We believe ipsoprubart’s mechanism of targeting activated myeloid cells and T cells, together with the anti-tumor activity observed to date, supports continued evaluation in these malignancies. </w:t>
      </w:r>
    </w:p>
    <w:p>
      <w:pPr>
        <w:pStyle w:val="TextBody"/>
        <w:bidi w:val="0"/>
        <w:spacing w:before="240" w:after="0"/>
        <w:jc w:val="left"/>
        <w:rPr>
          <w:rFonts w:ascii="Arial" w:hAnsi="Arial"/>
          <w:sz w:val="20"/>
        </w:rPr>
      </w:pPr>
      <w:r>
        <w:rPr>
          <w:rFonts w:ascii="Arial" w:hAnsi="Arial"/>
          <w:b/>
          <w:sz w:val="20"/>
        </w:rPr>
        <w:t>ELA822: SIRP</w:t>
      </w:r>
      <w:r>
        <w:rPr>
          <w:rFonts w:ascii="SYMBOL" w:hAnsi="SYMBOL"/>
          <w:sz w:val="20"/>
        </w:rPr>
        <w:t>g</w:t>
      </w:r>
      <w:r>
        <w:rPr>
          <w:rFonts w:ascii="Arial" w:hAnsi="Arial"/>
          <w:b/>
          <w:sz w:val="20"/>
        </w:rPr>
        <w:t xml:space="preserve">-Specific Antibody for Chronic Immune and Inflammatory Diseases </w:t>
      </w:r>
    </w:p>
    <w:p>
      <w:pPr>
        <w:pStyle w:val="TextBody"/>
        <w:bidi w:val="0"/>
        <w:spacing w:before="80" w:after="0"/>
        <w:jc w:val="left"/>
        <w:rPr>
          <w:rFonts w:ascii="Arial" w:hAnsi="Arial"/>
          <w:sz w:val="19"/>
        </w:rPr>
      </w:pPr>
      <w:r>
        <w:rPr>
          <w:rFonts w:ascii="Arial" w:hAnsi="Arial"/>
          <w:sz w:val="19"/>
        </w:rPr>
        <w:t>ELA822, our second product candidate, is a fully human IgG1k monoclonal antibody from our SIRP-targeted antibody portfolio, which was selected for its SIRP</w:t>
      </w:r>
      <w:r>
        <w:rPr>
          <w:rFonts w:ascii="SYMBOL" w:hAnsi="SYMBOL"/>
          <w:sz w:val="19"/>
        </w:rPr>
        <w:t>g</w:t>
      </w:r>
      <w:r>
        <w:rPr>
          <w:rFonts w:ascii="Arial" w:hAnsi="Arial"/>
          <w:sz w:val="19"/>
        </w:rPr>
        <w:t>-specificity, with no binding to SIRP</w:t>
      </w:r>
      <w:r>
        <w:rPr>
          <w:rFonts w:ascii="SYMBOL" w:hAnsi="SYMBOL"/>
          <w:sz w:val="19"/>
        </w:rPr>
        <w:t>a</w:t>
      </w:r>
      <w:r>
        <w:rPr>
          <w:rFonts w:ascii="Arial" w:hAnsi="Arial"/>
          <w:sz w:val="19"/>
        </w:rPr>
        <w:t xml:space="preserve"> or SIRPß1, and contains a canonical IgG1 Fc intended for repeated, long-term administration. By selectively engaging cells expressing high levels of SIRP</w:t>
      </w:r>
      <w:r>
        <w:rPr>
          <w:rFonts w:ascii="SYMBOL" w:hAnsi="SYMBOL"/>
          <w:sz w:val="19"/>
        </w:rPr>
        <w:t>g</w:t>
      </w:r>
      <w:r>
        <w:rPr>
          <w:rFonts w:ascii="Arial" w:hAnsi="Arial"/>
          <w:sz w:val="19"/>
        </w:rPr>
        <w:t xml:space="preserve">, ELA822 is designed to deplete activated, pathogenic T cells while sparing naïve and regulatory myeloid cells and T cells. We believe this target profile is well suited for a broad range of chronic T cell-mediated immune and inflammatory diseases where durable efficacy and long-term tolerability are important therapeutic objectives. Nonclinical data for ELA822 demonstrated selective depletion of activated T cells </w:t>
      </w:r>
      <w:r>
        <w:rPr>
          <w:rFonts w:ascii="Arial" w:hAnsi="Arial"/>
          <w:i/>
          <w:sz w:val="19"/>
        </w:rPr>
        <w:t xml:space="preserve">in vitro </w:t>
      </w:r>
      <w:r>
        <w:rPr>
          <w:rFonts w:ascii="Arial" w:hAnsi="Arial"/>
          <w:sz w:val="19"/>
        </w:rPr>
        <w:t xml:space="preserve">and activity in humanized models of T cell-driven diseases </w:t>
      </w:r>
      <w:r>
        <w:rPr>
          <w:rFonts w:ascii="Arial" w:hAnsi="Arial"/>
          <w:i/>
          <w:sz w:val="19"/>
        </w:rPr>
        <w:t>in vivo</w:t>
      </w:r>
      <w:r>
        <w:rPr>
          <w:rFonts w:ascii="Arial" w:hAnsi="Arial"/>
          <w:sz w:val="19"/>
        </w:rPr>
        <w:t xml:space="preserve">, and ELA822 was well tolerated in NHPs. We have obtained regulatory clearance to initiate a Phase 1 clinical trial of ELA822 in healthy volunteers in Europe. We have activated our clinical trial site, and we expect initial data in     .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9295" cy="1295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89295" cy="1295400"/>
                    </a:xfrm>
                    <a:prstGeom prst="rect">
                      <a:avLst/>
                    </a:prstGeom>
                  </pic:spPr>
                </pic:pic>
              </a:graphicData>
            </a:graphic>
          </wp:inline>
        </w:drawing>
      </w:r>
      <w:r>
        <w:rPr/>
        <w:t xml:space="preserve"> </w:t>
      </w:r>
    </w:p>
    <w:p>
      <w:pPr>
        <w:pStyle w:val="TextBody"/>
        <w:bidi w:val="0"/>
        <w:spacing w:before="80" w:after="0"/>
        <w:jc w:val="left"/>
        <w:rPr>
          <w:rFonts w:ascii="Arial" w:hAnsi="Arial"/>
          <w:b/>
          <w:i/>
          <w:sz w:val="19"/>
        </w:rPr>
      </w:pPr>
      <w:r>
        <w:rPr>
          <w:rFonts w:ascii="Arial" w:hAnsi="Arial"/>
          <w:b/>
          <w:i/>
          <w:sz w:val="19"/>
        </w:rPr>
        <w:t xml:space="preserve">Nonclinical Studies </w:t>
      </w:r>
    </w:p>
    <w:p>
      <w:pPr>
        <w:pStyle w:val="TextBody"/>
        <w:bidi w:val="0"/>
        <w:spacing w:before="40" w:after="0"/>
        <w:jc w:val="left"/>
        <w:rPr>
          <w:rFonts w:ascii="Arial" w:hAnsi="Arial"/>
          <w:sz w:val="19"/>
        </w:rPr>
      </w:pPr>
      <w:r>
        <w:rPr>
          <w:rFonts w:ascii="Arial" w:hAnsi="Arial"/>
          <w:sz w:val="19"/>
        </w:rPr>
        <w:t>The pharmacodynamic effect of ELA822 administration was evaluated in NHPs. As in humans, SIRP</w:t>
      </w:r>
      <w:r>
        <w:rPr>
          <w:rFonts w:ascii="SYMBOL" w:hAnsi="SYMBOL"/>
          <w:sz w:val="19"/>
        </w:rPr>
        <w:t>g</w:t>
      </w:r>
      <w:r>
        <w:rPr>
          <w:rFonts w:ascii="Arial" w:hAnsi="Arial"/>
          <w:sz w:val="19"/>
        </w:rPr>
        <w:t xml:space="preserve"> expression in NHPs is largely restricted to T cells and it is not typically detected on myeloid cells. However, SIRP</w:t>
      </w:r>
      <w:r>
        <w:rPr>
          <w:rFonts w:ascii="SYMBOL" w:hAnsi="SYMBOL"/>
          <w:sz w:val="19"/>
        </w:rPr>
        <w:t>g</w:t>
      </w:r>
      <w:r>
        <w:rPr>
          <w:rFonts w:ascii="Arial" w:hAnsi="Arial"/>
          <w:sz w:val="19"/>
        </w:rPr>
        <w:t xml:space="preserve"> expression has been shown to be approximately 2.6-fold higher in NHPs, as measured by median fluorescence intensity (MFI), and only a small proportion of peripheral blood T cells are reported to be SIRP</w:t>
      </w:r>
      <w:r>
        <w:rPr>
          <w:rFonts w:ascii="SYMBOL" w:hAnsi="SYMBOL"/>
          <w:sz w:val="19"/>
        </w:rPr>
        <w:t>g</w:t>
      </w:r>
      <w:r>
        <w:rPr>
          <w:rFonts w:ascii="Arial" w:hAnsi="Arial"/>
          <w:sz w:val="19"/>
        </w:rPr>
        <w:t>-negative cells (approximately 11%). Thus, although NHPs represent a pharmacologically relevant species for evaluating ELA822, PD effects may be more pronounced than in humans because of the higher level and broader distribution of SIRP</w:t>
      </w:r>
      <w:r>
        <w:rPr>
          <w:rFonts w:ascii="SYMBOL" w:hAnsi="SYMBOL"/>
          <w:sz w:val="19"/>
        </w:rPr>
        <w:t>g</w:t>
      </w:r>
      <w:r>
        <w:rPr>
          <w:rFonts w:ascii="Arial" w:hAnsi="Arial"/>
          <w:sz w:val="19"/>
        </w:rPr>
        <w:t xml:space="preserve"> expression. Weekly administration of ELA822 of in NHPs resulted in a dose dependent decrease in lymphocyte counts, as measured by a complete blood count (CBC) with differential. The maximal reduction of approximately 50% was consistent with the proportion of T lymphocytes present in the peripheral blood of NHPs. Immunophenotyping further demonstrated a dose dependent decrease in CD3+ T cells, with a nadir of approximately 75%. Analysis of SIRP</w:t>
      </w:r>
      <w:r>
        <w:rPr>
          <w:rFonts w:ascii="SYMBOL" w:hAnsi="SYMBOL"/>
          <w:sz w:val="19"/>
        </w:rPr>
        <w:t>g</w:t>
      </w:r>
      <w:r>
        <w:rPr>
          <w:rFonts w:ascii="Arial" w:hAnsi="Arial"/>
          <w:sz w:val="19"/>
        </w:rPr>
        <w:t xml:space="preserve"> expression on the residual T cell population was consistent with preferential depletion of T cells expressing the highest levels of SIRP</w:t>
      </w:r>
      <w:r>
        <w:rPr>
          <w:rFonts w:ascii="SYMBOL" w:hAnsi="SYMBOL"/>
          <w:sz w:val="19"/>
        </w:rPr>
        <w:t>g</w:t>
      </w:r>
      <w:r>
        <w:rPr>
          <w:rFonts w:ascii="Arial" w:hAnsi="Arial"/>
          <w:sz w:val="19"/>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48844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65800" cy="1488440"/>
                    </a:xfrm>
                    <a:prstGeom prst="rect">
                      <a:avLst/>
                    </a:prstGeom>
                  </pic:spPr>
                </pic:pic>
              </a:graphicData>
            </a:graphic>
          </wp:inline>
        </w:drawing>
      </w:r>
      <w:r>
        <w:rPr/>
        <w:t xml:space="preserve"> </w:t>
      </w:r>
    </w:p>
    <w:p>
      <w:pPr>
        <w:pStyle w:val="TextBody"/>
        <w:bidi w:val="0"/>
        <w:spacing w:before="180" w:after="0"/>
        <w:jc w:val="left"/>
        <w:rPr>
          <w:rFonts w:ascii="Arial" w:hAnsi="Arial"/>
          <w:sz w:val="19"/>
        </w:rPr>
      </w:pPr>
      <w:r>
        <w:rPr>
          <w:rFonts w:ascii="Arial" w:hAnsi="Arial"/>
          <w:sz w:val="19"/>
        </w:rPr>
        <w:t>We have evaluated the activity of ELA822 in a humanized mouse model of giant cell arteritis (GCA), a serious inflammatory condition that causes swelling in the lining of arteries, in collaboration with the Mayo Clinic. ELA822 demonstrated a statistically significant reduction (p&lt;0.05) in CD4+ T cell infiltration of the temporal artery wall relative to an isotype control antibody at the highest dose. ELA822 also produced statistically significant reductions (p&lt;0.05) in lesional expression of the T cell effector cytokines IFN</w:t>
      </w:r>
      <w:r>
        <w:rPr>
          <w:rFonts w:ascii="SYMBOL" w:hAnsi="SYMBOL"/>
          <w:sz w:val="19"/>
        </w:rPr>
        <w:t>g</w:t>
      </w:r>
      <w:r>
        <w:rPr>
          <w:rFonts w:ascii="Arial" w:hAnsi="Arial"/>
          <w:sz w:val="19"/>
        </w:rPr>
        <w:t xml:space="preserve"> and IL-21 compared to the isotype control at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highest dose. Taken together, we believe these findings demonstrate that SIRP</w:t>
      </w:r>
      <w:r>
        <w:rPr>
          <w:rFonts w:ascii="SYMBOL" w:hAnsi="SYMBOL"/>
          <w:sz w:val="19"/>
        </w:rPr>
        <w:t>g</w:t>
      </w:r>
      <w:r>
        <w:rPr>
          <w:rFonts w:ascii="Arial" w:hAnsi="Arial"/>
          <w:sz w:val="19"/>
        </w:rPr>
        <w:t xml:space="preserve"> plays a pivotal role in GCA lesion formation and establish </w:t>
      </w:r>
      <w:r>
        <w:rPr>
          <w:rFonts w:ascii="Arial" w:hAnsi="Arial"/>
          <w:i/>
          <w:sz w:val="19"/>
        </w:rPr>
        <w:t>in vivo</w:t>
      </w:r>
      <w:r>
        <w:rPr>
          <w:rFonts w:ascii="Arial" w:hAnsi="Arial"/>
          <w:sz w:val="19"/>
        </w:rPr>
        <w:t xml:space="preserve"> proof-of-concept for the ability of ELA822 to deplete pathogenic T cell populations and be a potential disease modifying treatment for GCA.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4000" cy="230568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334000" cy="2305685"/>
                    </a:xfrm>
                    <a:prstGeom prst="rect">
                      <a:avLst/>
                    </a:prstGeom>
                  </pic:spPr>
                </pic:pic>
              </a:graphicData>
            </a:graphic>
          </wp:inline>
        </w:drawing>
      </w:r>
      <w:r>
        <w:rPr/>
        <w:t xml:space="preserve"> </w:t>
      </w:r>
    </w:p>
    <w:p>
      <w:pPr>
        <w:pStyle w:val="TextBody"/>
        <w:bidi w:val="0"/>
        <w:spacing w:before="80" w:after="0"/>
        <w:jc w:val="left"/>
        <w:rPr>
          <w:rFonts w:ascii="Arial" w:hAnsi="Arial"/>
          <w:sz w:val="17"/>
        </w:rPr>
      </w:pPr>
      <w:r>
        <w:rPr>
          <w:rFonts w:ascii="Arial" w:hAnsi="Arial"/>
          <w:i/>
          <w:sz w:val="17"/>
        </w:rPr>
        <w:t>GCA: Giant Cell Arteritis; IFN</w:t>
      </w:r>
      <w:r>
        <w:rPr>
          <w:rFonts w:ascii="SYMBOL" w:hAnsi="SYMBOL"/>
          <w:sz w:val="17"/>
        </w:rPr>
        <w:t>g</w:t>
      </w:r>
      <w:r>
        <w:rPr>
          <w:rFonts w:ascii="Arial" w:hAnsi="Arial"/>
          <w:i/>
          <w:sz w:val="17"/>
        </w:rPr>
        <w:t xml:space="preserve">: Interferon-gamma </w:t>
      </w:r>
    </w:p>
    <w:p>
      <w:pPr>
        <w:pStyle w:val="TextBody"/>
        <w:bidi w:val="0"/>
        <w:spacing w:before="180" w:after="0"/>
        <w:jc w:val="left"/>
        <w:rPr>
          <w:rFonts w:ascii="Arial" w:hAnsi="Arial"/>
          <w:sz w:val="19"/>
        </w:rPr>
      </w:pPr>
      <w:r>
        <w:rPr>
          <w:rFonts w:ascii="Arial" w:hAnsi="Arial"/>
          <w:sz w:val="19"/>
        </w:rPr>
        <w:t>In a humanized mouse model of graft-versus-host disease (GvHD), administration of a SIRP</w:t>
      </w:r>
      <w:r>
        <w:rPr>
          <w:rFonts w:ascii="SYMBOL" w:hAnsi="SYMBOL"/>
          <w:sz w:val="19"/>
        </w:rPr>
        <w:t>g</w:t>
      </w:r>
      <w:r>
        <w:rPr>
          <w:rFonts w:ascii="Arial" w:hAnsi="Arial"/>
          <w:sz w:val="19"/>
        </w:rPr>
        <w:t xml:space="preserve"> targeted monoclonal antibody was associated with depletion of activated HLA-DR+/CD38+ T cells and produced clinically meaningful benefits relative to treatment with an isotype control antibody. ELA822-treated animals demonstrated a reduction in mean GvHD score at Day 28, from seven to four on a 1 to 10 scale where a total daily score of 0 was considered healthy, while a score of 10 indicated severe GvHD. ELA822 treatment also prevented the loss in body weight associated with GvHD and resulted in improved survival of animals through Day 30 of follow-up. </w:t>
      </w:r>
    </w:p>
    <w:p>
      <w:pPr>
        <w:pStyle w:val="TextBody"/>
        <w:bidi w:val="0"/>
        <w:spacing w:before="180" w:after="0"/>
        <w:jc w:val="left"/>
        <w:rPr>
          <w:rFonts w:ascii="Arial" w:hAnsi="Arial"/>
          <w:sz w:val="19"/>
        </w:rPr>
      </w:pPr>
      <w:r>
        <w:rPr>
          <w:rFonts w:ascii="Arial" w:hAnsi="Arial"/>
          <w:sz w:val="19"/>
        </w:rPr>
        <w:t xml:space="preserve">We have also completed a 28-day IND-enabling toxicology study of ELA822 in NHPs. Repeat IV dosing was well tolerated at doses up to 100 mg/kg with no drug-related adverse clinical or pathologic observations, establishing a no-observed-adverse-effect level of 100 mg/kg IV. ELA822 demonstrated SC bioavailability of greater than 90% in NHPs, which, if observed in humans, may support convenient outpatient SC administration for chronic immune and inflammatory diseases. Additionally, the PD effects of ELA822 observed in NHPs were highly selective for the T cell compartment. </w:t>
      </w:r>
    </w:p>
    <w:p>
      <w:pPr>
        <w:pStyle w:val="TextBody"/>
        <w:bidi w:val="0"/>
        <w:spacing w:before="80" w:after="0"/>
        <w:jc w:val="left"/>
        <w:rPr>
          <w:rFonts w:ascii="Arial" w:hAnsi="Arial"/>
          <w:b/>
          <w:i/>
          <w:sz w:val="19"/>
        </w:rPr>
      </w:pPr>
      <w:r>
        <w:rPr>
          <w:rFonts w:ascii="Arial" w:hAnsi="Arial"/>
          <w:b/>
          <w:i/>
          <w:sz w:val="19"/>
        </w:rPr>
        <w:t xml:space="preserve">Phase 1 Clinical Program to Assess ELA822 </w:t>
      </w:r>
    </w:p>
    <w:p>
      <w:pPr>
        <w:pStyle w:val="TextBody"/>
        <w:bidi w:val="0"/>
        <w:spacing w:before="40" w:after="0"/>
        <w:jc w:val="left"/>
        <w:rPr>
          <w:rFonts w:ascii="Arial" w:hAnsi="Arial"/>
          <w:sz w:val="19"/>
        </w:rPr>
      </w:pPr>
      <w:r>
        <w:rPr>
          <w:rFonts w:ascii="Arial" w:hAnsi="Arial"/>
          <w:sz w:val="19"/>
        </w:rPr>
        <w:t xml:space="preserve">We have activated a clinical trial site in our Phase 1 clinical trial to evaluate the safety, tolerability, PD, and PK of ELA822 in healthy volunteers. This trial will be a randomized, placebo-controlled, single-ascending-dose study, with sentinel dosing at each dose level. We plan to select the starting dose for evaluation in T cell-mediated diseases based on emerging safety, PK, and PD data from this trial. </w:t>
      </w:r>
    </w:p>
    <w:p>
      <w:pPr>
        <w:pStyle w:val="TextBody"/>
        <w:bidi w:val="0"/>
        <w:spacing w:before="80" w:after="0"/>
        <w:jc w:val="left"/>
        <w:rPr>
          <w:rFonts w:ascii="Arial" w:hAnsi="Arial"/>
          <w:b/>
          <w:i/>
          <w:sz w:val="19"/>
        </w:rPr>
      </w:pPr>
      <w:r>
        <w:rPr>
          <w:rFonts w:ascii="Arial" w:hAnsi="Arial"/>
          <w:b/>
          <w:i/>
          <w:sz w:val="19"/>
        </w:rPr>
        <w:t xml:space="preserve">Potential Breadth of Application in T Cell-Mediated Diseases </w:t>
      </w:r>
    </w:p>
    <w:p>
      <w:pPr>
        <w:pStyle w:val="TextBody"/>
        <w:bidi w:val="0"/>
        <w:spacing w:before="40" w:after="0"/>
        <w:jc w:val="left"/>
        <w:rPr>
          <w:rFonts w:ascii="Arial" w:hAnsi="Arial"/>
          <w:sz w:val="19"/>
        </w:rPr>
      </w:pPr>
      <w:r>
        <w:rPr>
          <w:rFonts w:ascii="Arial" w:hAnsi="Arial"/>
          <w:sz w:val="19"/>
        </w:rPr>
        <w:t>We believe ELA822 may have application across a broad range of T cell-mediated immune and inflammatory diseases in which pathogenic T cell subsets express SIRP</w:t>
      </w:r>
      <w:r>
        <w:rPr>
          <w:rFonts w:ascii="SYMBOL" w:hAnsi="SYMBOL"/>
          <w:sz w:val="19"/>
        </w:rPr>
        <w:t>g</w:t>
      </w:r>
      <w:r>
        <w:rPr>
          <w:rFonts w:ascii="Arial" w:hAnsi="Arial"/>
          <w:sz w:val="19"/>
        </w:rPr>
        <w:t xml:space="preserve"> at levels that may support selective depletion. The figure below illustratively depicts the constellation of diseases in which activated or pathogenic T cells have been implicated.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265303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78500" cy="2653030"/>
                    </a:xfrm>
                    <a:prstGeom prst="rect">
                      <a:avLst/>
                    </a:prstGeom>
                  </pic:spPr>
                </pic:pic>
              </a:graphicData>
            </a:graphic>
          </wp:inline>
        </w:drawing>
      </w:r>
      <w:r>
        <w:rPr/>
        <w:t xml:space="preserve"> </w:t>
      </w:r>
    </w:p>
    <w:p>
      <w:pPr>
        <w:pStyle w:val="TextBody"/>
        <w:bidi w:val="0"/>
        <w:spacing w:before="240" w:after="0"/>
        <w:jc w:val="left"/>
        <w:rPr>
          <w:rFonts w:ascii="Arial" w:hAnsi="Arial"/>
          <w:b/>
          <w:sz w:val="20"/>
        </w:rPr>
      </w:pPr>
      <w:r>
        <w:rPr>
          <w:rFonts w:ascii="Arial" w:hAnsi="Arial"/>
          <w:b/>
          <w:sz w:val="20"/>
        </w:rPr>
        <w:t xml:space="preserve">Manufacturing </w:t>
      </w:r>
    </w:p>
    <w:p>
      <w:pPr>
        <w:pStyle w:val="TextBody"/>
        <w:bidi w:val="0"/>
        <w:spacing w:before="80" w:after="0"/>
        <w:jc w:val="left"/>
        <w:rPr>
          <w:rFonts w:ascii="Arial" w:hAnsi="Arial"/>
          <w:sz w:val="19"/>
        </w:rPr>
      </w:pPr>
      <w:r>
        <w:rPr>
          <w:rFonts w:ascii="Arial" w:hAnsi="Arial"/>
          <w:sz w:val="19"/>
        </w:rPr>
        <w:t xml:space="preserve">We oversee and manage third party contract manufacturing organizations (CMOs) to support development and manufacture of protein biologic product candidates for our clinical trials. We expect our strategy to use CMOs will enable us to maintain a more efficient infrastructure, avoiding the necessity to acquire our own manufacturing facility and equipment, while simultaneously enabling us to focus our expertise on clinical development and the potential future commercialization of our products. Currently, we rely on and have agreements with multiple third-party CMOs to manufacture and supply drug substance (DS) and drug product (DP) for our clinical trials. In the event we advance any of our drug candidates through Phase 3 clinical trials, we anticipate the need to enter into a manufacture and supply agreement with, and transfer DS and DP manufacture to, one or more larger third-party CMOs with whom we would also likely enter into commercial supply agreements with prior to any potential regulatory approval if any of our drug candidates are commercialized. The DS and DP for our drug candidates are manufactured via conventional biopharmaceutical processing procedures, employing commonly used and commercially available excipients and packaging materials. The DS and DP are required to be manufactured in compliance with current good manufacturing practices (cGMP) and comparable foreign requirements. The process, equipment and methods employed for manufacture and analysis are consistent with standard biologics synthesis or pharmaceutical production, and are transferable to a range of manufacturing facilities, if needed. </w:t>
      </w:r>
    </w:p>
    <w:p>
      <w:pPr>
        <w:pStyle w:val="TextBody"/>
        <w:bidi w:val="0"/>
        <w:spacing w:before="240" w:after="0"/>
        <w:jc w:val="left"/>
        <w:rPr>
          <w:rFonts w:ascii="Arial" w:hAnsi="Arial"/>
          <w:b/>
          <w:sz w:val="20"/>
        </w:rPr>
      </w:pPr>
      <w:r>
        <w:rPr>
          <w:rFonts w:ascii="Arial" w:hAnsi="Arial"/>
          <w:b/>
          <w:sz w:val="20"/>
        </w:rPr>
        <w:t xml:space="preserve">Competition </w:t>
      </w:r>
    </w:p>
    <w:p>
      <w:pPr>
        <w:pStyle w:val="TextBody"/>
        <w:bidi w:val="0"/>
        <w:spacing w:before="80" w:after="0"/>
        <w:jc w:val="left"/>
        <w:rPr>
          <w:rFonts w:ascii="Arial" w:hAnsi="Arial"/>
          <w:sz w:val="19"/>
        </w:rPr>
      </w:pPr>
      <w:r>
        <w:rPr>
          <w:rFonts w:ascii="Arial" w:hAnsi="Arial"/>
          <w:sz w:val="19"/>
        </w:rPr>
        <w:t xml:space="preserve">The biopharmaceutical industry is characterized by rapidly evolving science and technology, intense competition, and a strong emphasis on intellectual property. We face, and will continue to face, substantial competition from biotechnology and pharmaceutical companies of all sizes, public and private research institutions, and governmental agencies. Many of our competitors have substantially greater financial, technical, and personnel resources than we do, more experience in the discovery, development, manufacturing, and commercialization of pharmaceutical products, and more established commercial infrastructure. These competitors also compete with us in recruiting and retaining qualified scientific and management personnel, establishing clinical trial sites, enrolling patients in clinical trials, and acquiring or in-licensing technologies that are complementary to, or potentially necessary for, our programs. Mergers and acquisitions in the biopharmaceutical industry may result in even more resources being concentrated among a smaller number of competitors. Smaller or earlier-stage companies may also prove to be significant competitors, particularly through collaborative arrangements with large, established companies. Any of our competitors may develop or commercialize therapies that are more effective, safer, more convenient, or less expensive than our product candidates, may obtain regulatory approval before we do, or may develop intellectual property that limits our ability to develop or commercialize our product candidates.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Ipsoprubart in sHLH </w:t>
      </w:r>
    </w:p>
    <w:p>
      <w:pPr>
        <w:pStyle w:val="TextBody"/>
        <w:bidi w:val="0"/>
        <w:spacing w:before="40" w:after="0"/>
        <w:jc w:val="left"/>
        <w:rPr>
          <w:rFonts w:ascii="Arial" w:hAnsi="Arial"/>
          <w:sz w:val="19"/>
        </w:rPr>
      </w:pPr>
      <w:r>
        <w:rPr>
          <w:rFonts w:ascii="Arial" w:hAnsi="Arial"/>
          <w:sz w:val="19"/>
        </w:rPr>
        <w:t xml:space="preserve">There is currently no established SOC and no therapies approved for the treatment of sHLH broadly. Patients with sHLH are commonly treated with high dose corticosteroids, chemotherapy, cytokine inhibitors, and other off-label therapies that non-selectively suppress the immune response or target individual cytokines. Emapalumab (Gamifant, marketed by Swedish Orphan Biovitrum AB) is approved by the FDA for primary HLH and MAS triggered by Still’s disease but is not approved for sHLH broadly. We will also compete with any investigational therapies in development now or in the future for sHLH and related hyperinflammatory conditions. </w:t>
      </w:r>
    </w:p>
    <w:p>
      <w:pPr>
        <w:pStyle w:val="TextBody"/>
        <w:bidi w:val="0"/>
        <w:spacing w:before="80" w:after="0"/>
        <w:jc w:val="left"/>
        <w:rPr>
          <w:rFonts w:ascii="Arial" w:hAnsi="Arial"/>
          <w:b/>
          <w:i/>
          <w:sz w:val="19"/>
        </w:rPr>
      </w:pPr>
      <w:r>
        <w:rPr>
          <w:rFonts w:ascii="Arial" w:hAnsi="Arial"/>
          <w:b/>
          <w:i/>
          <w:sz w:val="19"/>
        </w:rPr>
        <w:t xml:space="preserve">Ipsoprubart in Hematologic Malignancies </w:t>
      </w:r>
    </w:p>
    <w:p>
      <w:pPr>
        <w:pStyle w:val="TextBody"/>
        <w:bidi w:val="0"/>
        <w:spacing w:before="40" w:after="0"/>
        <w:jc w:val="left"/>
        <w:rPr>
          <w:rFonts w:ascii="Arial" w:hAnsi="Arial"/>
          <w:sz w:val="19"/>
        </w:rPr>
      </w:pPr>
      <w:r>
        <w:rPr>
          <w:rFonts w:ascii="Arial" w:hAnsi="Arial"/>
          <w:sz w:val="19"/>
        </w:rPr>
        <w:t xml:space="preserve">For our planned development of ipsoprubart in T/NK cell malignancies, we expect to compete with currently approved therapies for T cell malignancies. These therapies include alemtuzumab (Campath, marketed by Sanofi Genzyme), belinostat (Beleodaq, marketed by Acrotech Biopharma LLC), bexarotene (Targretin, marketed by Bausch Health Companies Inc.), brentuximab vedotin (Adcetris, marketed by Pfizer Inc. and Takeda Pharmaceutical Company Limited), denileukin diftitox (Lymphir, marketed by Citius Pharmaceuticals, Inc.), mogamulizumab (Poteligeo, marketed by Kyowa Kirin Co., Ltd.), nelarabine (Arranon, marketed by Novartis Pharmaceuticals Corporation), pralatrexate (Folotyn, marketed by Acrotech Biopharma LLC), romidepsin (Istodax, marketed by Bristol-Myers Squibb Company), valemetostat (Ezharmia, marketed by Daiichi Sankyo, Inc.), and vorinostat (Zolinza, marketed by Merck Sharp &amp; Dohme LLC). We will also compete with investigational therapies in development now or in the future for T/NK cell malignancies. </w:t>
      </w:r>
    </w:p>
    <w:p>
      <w:pPr>
        <w:pStyle w:val="TextBody"/>
        <w:bidi w:val="0"/>
        <w:spacing w:before="80" w:after="0"/>
        <w:jc w:val="left"/>
        <w:rPr>
          <w:rFonts w:ascii="Arial" w:hAnsi="Arial"/>
          <w:b/>
          <w:i/>
          <w:sz w:val="19"/>
        </w:rPr>
      </w:pPr>
      <w:r>
        <w:rPr>
          <w:rFonts w:ascii="Arial" w:hAnsi="Arial"/>
          <w:b/>
          <w:i/>
          <w:sz w:val="19"/>
        </w:rPr>
        <w:t xml:space="preserve">ELA822 in Chronic Immune and Inflammatory Diseases </w:t>
      </w:r>
    </w:p>
    <w:p>
      <w:pPr>
        <w:pStyle w:val="TextBody"/>
        <w:bidi w:val="0"/>
        <w:spacing w:before="40" w:after="0"/>
        <w:jc w:val="left"/>
        <w:rPr>
          <w:rFonts w:ascii="Arial" w:hAnsi="Arial"/>
          <w:sz w:val="19"/>
        </w:rPr>
      </w:pPr>
      <w:r>
        <w:rPr>
          <w:rFonts w:ascii="Arial" w:hAnsi="Arial"/>
          <w:sz w:val="19"/>
        </w:rPr>
        <w:t xml:space="preserve">ELA822 is being developed for chronic T cell-mediated immune and inflammatory diseases, an area in which there is well-established competition from multiple classes of approved therapies such as JAK inhibitors, TYK2 inhibitors, IL-4 and IL-13 antagonists, IL-17 inhibitors, and IL-23 inhibitors. We will also compete with investigational therapies in development now or in the future for chronic T cell-mediated immune and inflammatory diseases, such as programs targeting OX40, CD94, and KLRG1. </w:t>
      </w:r>
    </w:p>
    <w:p>
      <w:pPr>
        <w:pStyle w:val="TextBody"/>
        <w:bidi w:val="0"/>
        <w:spacing w:before="240" w:after="0"/>
        <w:jc w:val="left"/>
        <w:rPr>
          <w:rFonts w:ascii="Arial" w:hAnsi="Arial"/>
          <w:b/>
          <w:sz w:val="20"/>
        </w:rPr>
      </w:pPr>
      <w:r>
        <w:rPr>
          <w:rFonts w:ascii="Arial" w:hAnsi="Arial"/>
          <w:b/>
          <w:sz w:val="20"/>
        </w:rPr>
        <w:t xml:space="preserve">Intellectual Property </w:t>
      </w:r>
    </w:p>
    <w:p>
      <w:pPr>
        <w:pStyle w:val="TextBody"/>
        <w:bidi w:val="0"/>
        <w:spacing w:before="80" w:after="0"/>
        <w:jc w:val="left"/>
        <w:rPr>
          <w:rFonts w:ascii="Arial" w:hAnsi="Arial"/>
          <w:sz w:val="19"/>
        </w:rPr>
      </w:pPr>
      <w:r>
        <w:rPr>
          <w:rFonts w:ascii="Arial" w:hAnsi="Arial"/>
          <w:sz w:val="19"/>
        </w:rPr>
        <w:t xml:space="preserve">Our commercial success depends in large part on our ability to obtain and maintain patent protection and other proprietary and intellectual property protection in the U.S. and other countries for our current and future product candidates. We seek to protect our proprietary position by, among other methods, filing U.S. and foreign patents and patent applications. We will also seek to rely on regulatory protection afforded through inclusion in expedited development and review, data exclusivity, market exclusivity, and patent term extensions where available. </w:t>
      </w:r>
    </w:p>
    <w:p>
      <w:pPr>
        <w:pStyle w:val="TextBody"/>
        <w:bidi w:val="0"/>
        <w:spacing w:before="180" w:after="0"/>
        <w:jc w:val="left"/>
        <w:rPr>
          <w:rFonts w:ascii="Arial" w:hAnsi="Arial"/>
          <w:sz w:val="19"/>
        </w:rPr>
      </w:pPr>
      <w:r>
        <w:rPr>
          <w:rFonts w:ascii="Arial" w:hAnsi="Arial"/>
          <w:sz w:val="19"/>
        </w:rPr>
        <w:t xml:space="preserve">Generally, issued patents have a term of 20 years from the earliest claimed non-provisional filing date in the applicable country, subject to the payment of applicable maintenance, renewal, annuity, and other governmental fees. In certain instances in the United States, patent terms can be adjusted to recapture a portion of delay by the USPTO in examining the patent application, or extended to account for patent term effectively lost as a result of the FDA regulatory review process, subject to applicable statutory and regulatory requirements and a cap of 14 years of patent protection remaining from the date of product approval by the FDA, or both. Similar provisions are available in Europe and certain other jurisdictions to extend the term of a patent covering an approved drug. </w:t>
      </w:r>
    </w:p>
    <w:p>
      <w:pPr>
        <w:pStyle w:val="TextBody"/>
        <w:bidi w:val="0"/>
        <w:spacing w:before="180" w:after="0"/>
        <w:jc w:val="left"/>
        <w:rPr>
          <w:rFonts w:ascii="Arial" w:hAnsi="Arial"/>
          <w:sz w:val="19"/>
        </w:rPr>
      </w:pPr>
      <w:r>
        <w:rPr>
          <w:rFonts w:ascii="Arial" w:hAnsi="Arial"/>
          <w:sz w:val="19"/>
        </w:rPr>
        <w:t>As of June 8, 2026, our patent estate, which consists of Company-owned patents and applications, includes 2 issued U.S. patents, 5 pending U.S. non-provisional patent applications, 70 pending foreign patent applications, and 4 pending international patent applications filed under the Patent Cooperation Treaty (PCT patent application), not yet nationalized. The foreign pending applications are in various countries or regions outside of the U.S., including Australia, Brazil, Canada, China, Hong Kong, India, Israel, Japan, Mexico, New Zealand, Singapore, South Africa, South Korea, Taiwan, and countries within the European Patent Convention and the Eurasian Patent Organization. These patents and applications include filings directed toward our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targeted antibodies, including ipsoprubart, and SIRP</w:t>
      </w:r>
      <w:r>
        <w:rPr>
          <w:rFonts w:ascii="SYMBOL" w:hAnsi="SYMBOL"/>
          <w:sz w:val="19"/>
        </w:rPr>
        <w:t>g</w:t>
      </w:r>
      <w:r>
        <w:rPr>
          <w:rFonts w:ascii="Arial" w:hAnsi="Arial"/>
          <w:sz w:val="19"/>
        </w:rPr>
        <w:t xml:space="preserve"> specific antibodies, including ELA822. The issued patents, and any patents that may issue from the pending patent applications are expected to expire between 2041-2046, without taking into account any potential patent term adjustments, extensions or terminal disclaimers, and assuming payment of all appropriate maintenance, renewal, annuity, and other governmental fees. We expect to file additional patent applications in support of current and future product candidates, as well as their uses.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b/>
          <w:i/>
          <w:sz w:val="19"/>
        </w:rPr>
        <w:t>SIRP</w:t>
      </w:r>
      <w:r>
        <w:rPr>
          <w:rFonts w:ascii="SYMBOL" w:hAnsi="SYMBOL"/>
          <w:sz w:val="19"/>
        </w:rPr>
        <w:t>a</w:t>
      </w:r>
      <w:r>
        <w:rPr>
          <w:rFonts w:ascii="Arial" w:hAnsi="Arial"/>
          <w:b/>
          <w:i/>
          <w:sz w:val="19"/>
        </w:rPr>
        <w:t>/ß1/</w:t>
      </w:r>
      <w:r>
        <w:rPr>
          <w:rFonts w:ascii="SYMBOL" w:hAnsi="SYMBOL"/>
          <w:sz w:val="19"/>
        </w:rPr>
        <w:t>g</w:t>
      </w:r>
      <w:r>
        <w:rPr>
          <w:rFonts w:ascii="Arial" w:hAnsi="Arial"/>
          <w:sz w:val="19"/>
        </w:rPr>
        <w:t xml:space="preserve"> </w:t>
      </w:r>
      <w:r>
        <w:rPr>
          <w:rFonts w:ascii="Arial" w:hAnsi="Arial"/>
          <w:b/>
          <w:i/>
          <w:sz w:val="19"/>
        </w:rPr>
        <w:t xml:space="preserve">Antibodies </w:t>
      </w:r>
    </w:p>
    <w:p>
      <w:pPr>
        <w:pStyle w:val="TextBody"/>
        <w:bidi w:val="0"/>
        <w:spacing w:before="40" w:after="0"/>
        <w:jc w:val="left"/>
        <w:rPr>
          <w:rFonts w:ascii="Arial" w:hAnsi="Arial"/>
          <w:sz w:val="19"/>
        </w:rPr>
      </w:pPr>
      <w:r>
        <w:rPr>
          <w:rFonts w:ascii="Arial" w:hAnsi="Arial"/>
          <w:sz w:val="19"/>
        </w:rPr>
        <w:t>We own patents and applications directed to novel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targeted antibodies (pan-SIRP antibodies), and methods of making, and using these antibodies. As of June 8, 2026, our pan-SIRP antibodies patent portfolio includes 2 issued U.S. patents, 3 pending U.S. non-provisional patent applications, 39 pending foreign patent applications, and 1 pending PCT patent application, which has not yet been nationalized. The issued U.S. patents provide coverage for antibodies that bind SIRP</w:t>
      </w:r>
      <w:r>
        <w:rPr>
          <w:rFonts w:ascii="SYMBOL" w:hAnsi="SYMBOL"/>
          <w:sz w:val="19"/>
        </w:rPr>
        <w:t>a</w:t>
      </w:r>
      <w:r>
        <w:rPr>
          <w:rFonts w:ascii="Arial" w:hAnsi="Arial"/>
          <w:sz w:val="19"/>
        </w:rPr>
        <w:t>, SIRPß1, and SIRP</w:t>
      </w:r>
      <w:r>
        <w:rPr>
          <w:rFonts w:ascii="SYMBOL" w:hAnsi="SYMBOL"/>
          <w:sz w:val="19"/>
        </w:rPr>
        <w:t>g</w:t>
      </w:r>
      <w:r>
        <w:rPr>
          <w:rFonts w:ascii="Arial" w:hAnsi="Arial"/>
          <w:sz w:val="19"/>
        </w:rPr>
        <w:t xml:space="preserve">, including ipsoprubart, and are expected to expire in 2041, without taking into account any potential patent term adjustments, extensions or terminal disclaimers, and assuming payment of all appropriate maintenance, renewal, annuity and other governmental fees. Other patents that may issue from these pending applications are expected to expire between 2041-2046, without taking into account any potential patent term adjustments, extensions or terminal disclaimers, and assuming payment of all appropriate maintenance, renewal, annuity, and other governmental fees. </w:t>
      </w:r>
    </w:p>
    <w:p>
      <w:pPr>
        <w:pStyle w:val="TextBody"/>
        <w:bidi w:val="0"/>
        <w:spacing w:before="80" w:after="0"/>
        <w:jc w:val="left"/>
        <w:rPr>
          <w:rFonts w:ascii="Arial" w:hAnsi="Arial"/>
          <w:sz w:val="19"/>
        </w:rPr>
      </w:pPr>
      <w:r>
        <w:rPr>
          <w:rFonts w:ascii="Arial" w:hAnsi="Arial"/>
          <w:b/>
          <w:i/>
          <w:sz w:val="19"/>
        </w:rPr>
        <w:t>SIRP</w:t>
      </w:r>
      <w:r>
        <w:rPr>
          <w:rFonts w:ascii="SYMBOL" w:hAnsi="SYMBOL"/>
          <w:sz w:val="19"/>
        </w:rPr>
        <w:t>g</w:t>
      </w:r>
      <w:r>
        <w:rPr>
          <w:rFonts w:ascii="Arial" w:hAnsi="Arial"/>
          <w:sz w:val="19"/>
        </w:rPr>
        <w:t xml:space="preserve"> </w:t>
      </w:r>
      <w:r>
        <w:rPr>
          <w:rFonts w:ascii="Arial" w:hAnsi="Arial"/>
          <w:b/>
          <w:i/>
          <w:sz w:val="19"/>
        </w:rPr>
        <w:t xml:space="preserve">Antibodies </w:t>
      </w:r>
    </w:p>
    <w:p>
      <w:pPr>
        <w:pStyle w:val="TextBody"/>
        <w:bidi w:val="0"/>
        <w:spacing w:before="40" w:after="0"/>
        <w:jc w:val="left"/>
        <w:rPr>
          <w:rFonts w:ascii="Arial" w:hAnsi="Arial"/>
          <w:sz w:val="19"/>
        </w:rPr>
      </w:pPr>
      <w:r>
        <w:rPr>
          <w:rFonts w:ascii="Arial" w:hAnsi="Arial"/>
          <w:sz w:val="19"/>
        </w:rPr>
        <w:t>In addition to the pan-SIRP antibodies patents and applications outlined above, we also own patent applications directed to SIRP</w:t>
      </w:r>
      <w:r>
        <w:rPr>
          <w:rFonts w:ascii="SYMBOL" w:hAnsi="SYMBOL"/>
          <w:sz w:val="19"/>
        </w:rPr>
        <w:t>g</w:t>
      </w:r>
      <w:r>
        <w:rPr>
          <w:rFonts w:ascii="Arial" w:hAnsi="Arial"/>
          <w:sz w:val="19"/>
        </w:rPr>
        <w:t xml:space="preserve">-specific antibodies, including ELA822, providing compositions of matter, and methods of making, and methods of use. As of June 8, 2026, these filings include 1 pending U.S. non-provisional patent application, 18 pending foreign patent applications, and 2 pending PCT patent applications, which have not yet been nationalized. Any patents that issue from these pending patent applications are expected to expire between 2042 and 2045, without taking into account any potential patent term adjustments, extensions, or terminal disclaimers, and assuming payment of all appropriate maintenance, renewal, annuity, and other governmental fees. </w:t>
      </w:r>
    </w:p>
    <w:p>
      <w:pPr>
        <w:pStyle w:val="TextBody"/>
        <w:bidi w:val="0"/>
        <w:spacing w:before="180" w:after="0"/>
        <w:jc w:val="left"/>
        <w:rPr>
          <w:rFonts w:ascii="Arial" w:hAnsi="Arial"/>
          <w:sz w:val="19"/>
        </w:rPr>
      </w:pPr>
      <w:r>
        <w:rPr>
          <w:rFonts w:ascii="Arial" w:hAnsi="Arial"/>
          <w:sz w:val="19"/>
        </w:rPr>
        <w:t xml:space="preserve">Although we will continue to file patent applications and to seek to maximize the scope of our patent protection for all of our programs, the coverage claimed in a patent application can be significantly reduced before a patent is issued, and its scope can be reinterpreted and even challenged after issuance, therefore, we cannot provide any assurance that any patents will issue from our pending or future applications or that any issued patents will adequately protect our current or future product candidates. Without patent protection for our current or future product candidates, we may be open to competition from third parties. For more information, see the section titled “Risks Related to Our Intellectual Property.” </w:t>
      </w:r>
    </w:p>
    <w:p>
      <w:pPr>
        <w:pStyle w:val="TextBody"/>
        <w:bidi w:val="0"/>
        <w:spacing w:before="180" w:after="0"/>
        <w:jc w:val="left"/>
        <w:rPr>
          <w:rFonts w:ascii="Arial" w:hAnsi="Arial"/>
          <w:sz w:val="19"/>
        </w:rPr>
      </w:pPr>
      <w:r>
        <w:rPr>
          <w:rFonts w:ascii="Arial" w:hAnsi="Arial"/>
          <w:sz w:val="19"/>
        </w:rPr>
        <w:t xml:space="preserve">We maintain and are seeking registered trademarks. As of June 8, 2026, we own 1 registered trademark on the company name and 1 pending trademark application in the United States. These numbers may grow as our portfolio continues to evolve and expand. </w:t>
      </w:r>
    </w:p>
    <w:p>
      <w:pPr>
        <w:pStyle w:val="TextBody"/>
        <w:bidi w:val="0"/>
        <w:spacing w:before="180" w:after="0"/>
        <w:jc w:val="left"/>
        <w:rPr>
          <w:rFonts w:ascii="Arial" w:hAnsi="Arial"/>
          <w:sz w:val="19"/>
        </w:rPr>
      </w:pPr>
      <w:r>
        <w:rPr>
          <w:rFonts w:ascii="Arial" w:hAnsi="Arial"/>
          <w:sz w:val="19"/>
        </w:rPr>
        <w:t xml:space="preserve">We also protect the trade secrets, know-how, and other proprietary information underlying our product candidates. To help protect our trade secrets, know-how, and other proprietary information, we rely, in part, upon non-disclosure, confidentiality, and non-competition agreements with our commercial partners, collaborators, employees, and consultants, and invention assignment agreements with our employees. We limit the disclosure of our trade secrets to employees and third-party service providers who have a need to know such information in order to perform their responsibilities. We also seek to preserve the integrity and confidentiality of our data and trade secrets by maintaining the physical security of our premises and physical and electronic security of our information technology systems. While we aim to ensure we have agreements in place to help protect our trade secrets and confidential know-how, these agreements may be breached, and we may not have adequate remedies for any resulting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patents, patent applications, know-how, inventions, and other intellectual property. For more information, see the section titled “Risks Related to Our Intellectual Property.” </w:t>
      </w:r>
    </w:p>
    <w:p>
      <w:pPr>
        <w:pStyle w:val="TextBody"/>
        <w:bidi w:val="0"/>
        <w:spacing w:before="180" w:after="0"/>
        <w:jc w:val="left"/>
        <w:rPr>
          <w:rFonts w:ascii="Arial" w:hAnsi="Arial"/>
          <w:sz w:val="19"/>
        </w:rPr>
      </w:pPr>
      <w:r>
        <w:rPr>
          <w:rFonts w:ascii="Arial" w:hAnsi="Arial"/>
          <w:sz w:val="19"/>
        </w:rPr>
        <w:t xml:space="preserve">Obtaining patents does not guarantee our right to practice or commercialize the patented technology. Any patent we own or may own in the future may be challenged, circumvented or invalidated by third parties. In addition, third parties may have or in the future obtain rights to patents that could be used to prevent or attempt to prevent us from commercializing our current or future product candidates. If third parties prepare and file patent applications in the United States or other jurisdictions that also claim technology to which we have rights, we may have to participate in proceedings in the USPTO, such as interference or derivation proceedings, in the federal courts, or in similar proceedings in other jurisdictions to determine the priority of invention, or potential validity, enforceability, or infringement. For more information see the section titled “Risks Related to Our Intellectual Property.”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Government Regulation </w:t>
      </w:r>
    </w:p>
    <w:p>
      <w:pPr>
        <w:pStyle w:val="TextBody"/>
        <w:bidi w:val="0"/>
        <w:spacing w:before="80" w:after="0"/>
        <w:jc w:val="left"/>
        <w:rPr>
          <w:rFonts w:ascii="Arial" w:hAnsi="Arial"/>
          <w:sz w:val="19"/>
        </w:rPr>
      </w:pPr>
      <w:r>
        <w:rPr>
          <w:rFonts w:ascii="Arial" w:hAnsi="Arial"/>
          <w:sz w:val="19"/>
        </w:rPr>
        <w:t xml:space="preserve">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80" w:after="0"/>
        <w:jc w:val="left"/>
        <w:rPr>
          <w:rFonts w:ascii="Arial" w:hAnsi="Arial"/>
          <w:b/>
          <w:i/>
          <w:sz w:val="19"/>
        </w:rPr>
      </w:pPr>
      <w:r>
        <w:rPr>
          <w:rFonts w:ascii="Arial" w:hAnsi="Arial"/>
          <w:b/>
          <w:i/>
          <w:sz w:val="19"/>
        </w:rPr>
        <w:t xml:space="preserve">FDA Approval Process </w:t>
      </w:r>
    </w:p>
    <w:p>
      <w:pPr>
        <w:pStyle w:val="TextBody"/>
        <w:bidi w:val="0"/>
        <w:spacing w:before="40" w:after="0"/>
        <w:jc w:val="left"/>
        <w:rPr>
          <w:rFonts w:ascii="Arial" w:hAnsi="Arial"/>
          <w:sz w:val="19"/>
        </w:rPr>
      </w:pPr>
      <w:r>
        <w:rPr>
          <w:rFonts w:ascii="Arial" w:hAnsi="Arial"/>
          <w:sz w:val="19"/>
        </w:rPr>
        <w:t xml:space="preserve">In the United States, biological products, such as those we are developing, are subject to extensive regulation by the FDA. The Federal Food, Drug, and Cosmetic Act (FDC Act), the Public Health Service Act (PHS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PHS Act, via a Biologics License Application (BLA). However, the application process and requirements for approval of BLAs are very similar to those for NDAs. Failure to comply with applicable U.S. requirements may subject a company to a variety of administrative or judicial sanctions, such as a clinical hold, FDA refusal to approve a pending BLA, warning or untitled letters, product recalls, product seizures, total or partial suspension of production or distribution, injunctions, fines, civil penalties, and criminal prosecution. </w:t>
      </w:r>
    </w:p>
    <w:p>
      <w:pPr>
        <w:pStyle w:val="TextBody"/>
        <w:bidi w:val="0"/>
        <w:spacing w:before="180" w:after="0"/>
        <w:jc w:val="left"/>
        <w:rPr>
          <w:rFonts w:ascii="Arial" w:hAnsi="Arial"/>
          <w:sz w:val="19"/>
        </w:rPr>
      </w:pPr>
      <w:r>
        <w:rPr>
          <w:rFonts w:ascii="Arial" w:hAnsi="Arial"/>
          <w:sz w:val="19"/>
        </w:rPr>
        <w:t xml:space="preserve">The process required by the FDA before a drug or biologic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completion of certain nonclinical laboratory tests, animal studies and formulation studies in accordance with Good Laboratory Practice (GLPs) regulations and other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performance of adequate and well-controlled human clinical trials in accordance with Good Clinical Practice regulations (GCPs) to evaluate the safety, purity and potency, of the product candidate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preparation and submission to the FDA of a BLA;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biological product’s continued safety, purity, and potency;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FDA review and approval of the BLA to permit commercial marketing of the product for particular indications for use in the United States. </w:t>
            </w:r>
          </w:p>
        </w:tc>
      </w:tr>
    </w:tbl>
    <w:p>
      <w:pPr>
        <w:pStyle w:val="TextBody"/>
        <w:bidi w:val="0"/>
        <w:spacing w:before="80" w:after="0"/>
        <w:jc w:val="left"/>
        <w:rPr>
          <w:rFonts w:ascii="Arial" w:hAnsi="Arial"/>
          <w:i/>
          <w:sz w:val="19"/>
        </w:rPr>
      </w:pPr>
      <w:r>
        <w:rPr>
          <w:rFonts w:ascii="Arial" w:hAnsi="Arial"/>
          <w:i/>
          <w:sz w:val="19"/>
        </w:rPr>
        <w:t xml:space="preserve">Nonclinical Studies </w:t>
      </w:r>
    </w:p>
    <w:p>
      <w:pPr>
        <w:pStyle w:val="TextBody"/>
        <w:bidi w:val="0"/>
        <w:spacing w:before="40" w:after="0"/>
        <w:jc w:val="left"/>
        <w:rPr>
          <w:rFonts w:ascii="Arial" w:hAnsi="Arial"/>
          <w:sz w:val="19"/>
        </w:rPr>
      </w:pPr>
      <w:r>
        <w:rPr>
          <w:rFonts w:ascii="Arial" w:hAnsi="Arial"/>
          <w:sz w:val="19"/>
        </w:rPr>
        <w:t xml:space="preserve">Nonclinical studies include laboratory evaluation of product chemistry, formulation, and toxicity, as well as animal trials to assess the characteristics and potential safety and efficacy of the product. The conduct of the nonclinical tests must comply with federal regulations and requirements, including GLP requirements for certain animal studies. The results of nonclinical testing are submitted to the FDA as part of an IND along with other information, including information about product chemistry, manufacturing, and controls (CMC) and a proposed clinical trial protocol. Long-term nonclinical tests, such as animal tests of reproductive toxicity and carcinogenicity, may continue after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IND is submitted. An IND automatically becomes effective 30 days after receipt by the FDA, unless before that time the FDA raises concerns or questions related to one or more proposed clinical trials and places the trial on a full or partial clinical hold. In such a case, the IND sponsor and the FDA must resolve any outstanding concerns before the clinical trial can begin or begin as proposed. Submission of an IND therefore may or may not result in FDA allowance to begin a clinical trial. </w:t>
      </w:r>
    </w:p>
    <w:p>
      <w:pPr>
        <w:pStyle w:val="TextBody"/>
        <w:bidi w:val="0"/>
        <w:spacing w:before="80" w:after="0"/>
        <w:jc w:val="left"/>
        <w:rPr>
          <w:rFonts w:ascii="Arial" w:hAnsi="Arial"/>
          <w:i/>
          <w:sz w:val="19"/>
        </w:rPr>
      </w:pPr>
      <w:r>
        <w:rPr>
          <w:rFonts w:ascii="Arial" w:hAnsi="Arial"/>
          <w:i/>
          <w:sz w:val="19"/>
        </w:rPr>
        <w:t xml:space="preserve">Clinical Trials </w:t>
      </w:r>
    </w:p>
    <w:p>
      <w:pPr>
        <w:pStyle w:val="TextBody"/>
        <w:bidi w:val="0"/>
        <w:spacing w:before="40" w:after="0"/>
        <w:jc w:val="left"/>
        <w:rPr>
          <w:rFonts w:ascii="Arial" w:hAnsi="Arial"/>
          <w:sz w:val="19"/>
        </w:rPr>
      </w:pPr>
      <w:r>
        <w:rPr>
          <w:rFonts w:ascii="Arial" w:hAnsi="Arial"/>
          <w:sz w:val="19"/>
        </w:rPr>
        <w:t xml:space="preserve">Clinical trials involve the administration of the investigational biologic to participants including healthy volunteers or patients under the supervision of a qualified investigator. Clinical trials must be conducted: (i) in compliance with any applicable federal regulations; (ii) in compliance with good clinical practices (GCPs), which are regulations and standards meant to protect the rights and health of patients and to define the roles of clinical trial sponsors, administrators, and monitors; as well as (iii) under protocols detailing the objectives of the trial, the parameters to be used in monitoring safety, and any safety effectiveness criteria to be evaluated. Each protocol involving testing on U.S. patients and subsequent protocol amendments must be submitted to the FDA as part of the IND. While the IND is active, progress reports summarizing the results, if known, of the clinical trials and nonclinical studies performed since the last progress report, among other information, must be submitted at least annually to the FDA, and written IND safety reports must be submitted to the FDA and investigators in certain circumstances, including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before="180" w:after="0"/>
        <w:jc w:val="left"/>
        <w:rPr>
          <w:rFonts w:ascii="Arial" w:hAnsi="Arial"/>
          <w:sz w:val="19"/>
        </w:rPr>
      </w:pPr>
      <w:r>
        <w:rPr>
          <w:rFonts w:ascii="Arial" w:hAnsi="Arial"/>
          <w:sz w:val="19"/>
        </w:rPr>
        <w:t xml:space="preserve">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such a case a sponsor may voluntarily suspend or discontinue a study. The study protocol and informed consent information for patients in clinical trials must also be submitted to IRBs or ethics committees overseeing clinical sites, for approval. An IRB may also require the clinical trial at the site to be halted, either temporarily or permanently, for a variety of reasons, including failure to comply with the IRB’s requirements or if there is a finding that patients are exposed to an unacceptable health risk, or may impose other conditions. Some studies also include oversight by an independent group of qualified experts organized by the clinical trial sponsor, which may be known as a data safety monitoring board. </w:t>
      </w:r>
    </w:p>
    <w:p>
      <w:pPr>
        <w:pStyle w:val="TextBody"/>
        <w:bidi w:val="0"/>
        <w:spacing w:before="180" w:after="0"/>
        <w:jc w:val="left"/>
        <w:rPr>
          <w:rFonts w:ascii="Arial" w:hAnsi="Arial"/>
          <w:sz w:val="19"/>
        </w:rPr>
      </w:pPr>
      <w:r>
        <w:rPr>
          <w:rFonts w:ascii="Arial" w:hAnsi="Arial"/>
          <w:sz w:val="19"/>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IND or a BLA. The FDA will accept the results from a well-designed and well-conducted foreign clinical trial not conducted under an IND if the clinical trial was conducted in accordance with GCPs and the FDA is able to validate the data through an onsite inspection if deemed necessary. </w:t>
      </w:r>
    </w:p>
    <w:p>
      <w:pPr>
        <w:pStyle w:val="TextBody"/>
        <w:bidi w:val="0"/>
        <w:spacing w:before="180" w:after="0"/>
        <w:jc w:val="left"/>
        <w:rPr>
          <w:rFonts w:ascii="Arial" w:hAnsi="Arial"/>
          <w:sz w:val="19"/>
        </w:rPr>
      </w:pPr>
      <w:r>
        <w:rPr>
          <w:rFonts w:ascii="Arial" w:hAnsi="Arial"/>
          <w:sz w:val="19"/>
        </w:rPr>
        <w:t xml:space="preserve">Clinical trials to support BLAs for regulatory approval are typically conducted in three sequential phases, but the phases may be combined or overlap.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In Phase 1, the initial introduction of the biological product candidate into healthy volunteers or patients, the product candidate is tested to assess safety, dosage tolerance, metabolism, pharmacokinetics, pharmacological actions, side effects associated with drug exposure, and, if possible, early evidence on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Phase 2 usually involves trials in a limited patient population with the target disease or condition to preliminarily evaluate the effectiveness of the biologic product candidate for a particular indication, determine optimal dose and regimen for further development, and to identify common adverse effects and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Phase 3 trials are subsequently undertaken in an expanded patient population to obtain additional information about clinical efficacy and safety in a larger number of patients, typically at geographically dispersed clinical trial sites, to permit the FDA to evaluate the overall benefit-risk relationship of the biologic product candidate and to provide adequate information for the labeling of the product.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w:t>
      </w:r>
    </w:p>
    <w:p>
      <w:pPr>
        <w:pStyle w:val="TextBody"/>
        <w:bidi w:val="0"/>
        <w:spacing w:before="180" w:after="0"/>
        <w:jc w:val="left"/>
        <w:rPr>
          <w:rFonts w:ascii="Arial" w:hAnsi="Arial"/>
          <w:sz w:val="19"/>
        </w:rPr>
      </w:pPr>
      <w:r>
        <w:rPr>
          <w:rFonts w:ascii="Arial" w:hAnsi="Arial"/>
          <w:sz w:val="19"/>
        </w:rPr>
        <w:t xml:space="preserve">The sponsor of an investigational product in a Phase 2 or Phase 3 clinical trial for a serious or life-threatening disease is required to make available, such as by posting on its website, its policy on evaluating and responding to requests for expanded access to such investigational drug. </w:t>
      </w:r>
    </w:p>
    <w:p>
      <w:pPr>
        <w:pStyle w:val="TextBody"/>
        <w:bidi w:val="0"/>
        <w:spacing w:before="180" w:after="0"/>
        <w:jc w:val="left"/>
        <w:rPr>
          <w:rFonts w:ascii="Arial" w:hAnsi="Arial"/>
          <w:sz w:val="19"/>
        </w:rPr>
      </w:pPr>
      <w:r>
        <w:rPr>
          <w:rFonts w:ascii="Arial" w:hAnsi="Arial"/>
          <w:sz w:val="19"/>
        </w:rPr>
        <w:t xml:space="preserve">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 </w:t>
      </w:r>
    </w:p>
    <w:p>
      <w:pPr>
        <w:pStyle w:val="TextBody"/>
        <w:bidi w:val="0"/>
        <w:spacing w:before="80" w:after="0"/>
        <w:jc w:val="left"/>
        <w:rPr>
          <w:rFonts w:ascii="Arial" w:hAnsi="Arial"/>
          <w:i/>
          <w:sz w:val="19"/>
        </w:rPr>
      </w:pPr>
      <w:r>
        <w:rPr>
          <w:rFonts w:ascii="Arial" w:hAnsi="Arial"/>
          <w:i/>
          <w:sz w:val="19"/>
        </w:rPr>
        <w:t xml:space="preserve">FDA Review Process </w:t>
      </w:r>
    </w:p>
    <w:p>
      <w:pPr>
        <w:pStyle w:val="TextBody"/>
        <w:bidi w:val="0"/>
        <w:spacing w:before="40" w:after="0"/>
        <w:jc w:val="left"/>
        <w:rPr>
          <w:rFonts w:ascii="Arial" w:hAnsi="Arial"/>
          <w:sz w:val="19"/>
        </w:rPr>
      </w:pPr>
      <w:r>
        <w:rPr>
          <w:rFonts w:ascii="Arial" w:hAnsi="Arial"/>
          <w:sz w:val="19"/>
        </w:rPr>
        <w:t xml:space="preserve">Assuming successful completion of all required testing in accordance with all applicable regulatory requirements, the product candidate sponsor prepares and submits a BLA to the FDA seeking approval to market the biologic for one or more indications. FDA approval of the BLA is required before marketing and distribution of the product may begin in the United States. The BLA must include the results of all preclinical, clinical, and other testing and a compilation of data relating to the product’s pharmacology and CMC. The cost of preparing and submitting a BLA is substantial. The submission of most BLAs is additionally subject to a substantial application user fee. Under an approved BLA, the applicant is also subject to an annual program fee. These fees typically increase annually. A BLA for a biologic that has been designated as an orphan drug is not subject to an application fee, unless the BLA includes an indication for other than a rare disease or condition. </w:t>
      </w:r>
    </w:p>
    <w:p>
      <w:pPr>
        <w:pStyle w:val="TextBody"/>
        <w:bidi w:val="0"/>
        <w:spacing w:before="180" w:after="0"/>
        <w:jc w:val="left"/>
        <w:rPr>
          <w:rFonts w:ascii="Arial" w:hAnsi="Arial"/>
          <w:sz w:val="19"/>
        </w:rPr>
      </w:pPr>
      <w:r>
        <w:rPr>
          <w:rFonts w:ascii="Arial" w:hAnsi="Arial"/>
          <w:sz w:val="19"/>
        </w:rPr>
        <w:t xml:space="preserve">The FDA has 60 days from its receipt of a BLA to conduct a preliminary review and determine whether the application will be filed based on the FDA’s threshold determination that the BLA is sufficiently complete to permit substantive review. If the FDA determines the application is incomplete because it does not on its face contain required information, the FDA may refuse to file the application and request additional information rather than file the BLA. In this event, the BLA must be resubmitted with the additional information. The resubmitted application also is subject to preliminary review before the FDA files it. Once the application is filed, the FDA begins an in-depth review. The FDA reviews a BLA to determine, among other things, whether the product candidate is safe, pure and potent and the facility in which it is manufactured, processed, packed or held meets standards designed to assure the product’s continued safety, purity and potency. </w:t>
      </w:r>
    </w:p>
    <w:p>
      <w:pPr>
        <w:pStyle w:val="TextBody"/>
        <w:bidi w:val="0"/>
        <w:spacing w:before="180" w:after="0"/>
        <w:jc w:val="left"/>
        <w:rPr>
          <w:rFonts w:ascii="Arial" w:hAnsi="Arial"/>
          <w:sz w:val="19"/>
        </w:rPr>
      </w:pPr>
      <w:r>
        <w:rPr>
          <w:rFonts w:ascii="Arial" w:hAnsi="Arial"/>
          <w:sz w:val="19"/>
        </w:rPr>
        <w:t xml:space="preserve">The FDA has agreed to certain performance goals in the review of BLAs. Standard-review applications have a goal of being reviewed within ten months of the date the FDA files the BLA; applications classified as Priority Review have a goal of being reviewed within six months of the date the FDA files the BLA. A BLA can be classified for Priority Review when the FDA determines the biologic product candidate has the potential to treat a serious or life-threatening condition and, if approved, would be a significant improvement in safety or effectiveness compared to available therapies. The FDA does not always meet its PDUFA goal dates for standard and priority BLAs, and the review process for both standard and priority reviews may be extended by the FDA for three additional months to consider certain late-submitted information or information deemed a “major amendment” to the BLA submission. </w:t>
      </w:r>
    </w:p>
    <w:p>
      <w:pPr>
        <w:pStyle w:val="TextBody"/>
        <w:bidi w:val="0"/>
        <w:spacing w:before="180" w:after="0"/>
        <w:jc w:val="left"/>
        <w:rPr>
          <w:rFonts w:ascii="Arial" w:hAnsi="Arial"/>
          <w:sz w:val="19"/>
        </w:rPr>
      </w:pPr>
      <w:r>
        <w:rPr>
          <w:rFonts w:ascii="Arial" w:hAnsi="Arial"/>
          <w:sz w:val="19"/>
        </w:rPr>
        <w:t xml:space="preserve">The FDA may also refer applications for novel biologic products, as well as biologic products that present difficult questions of safety or efficacy, to an advisory committee—typically a panel that includes clinicians and other experts—for review, evaluation, and a recommendation as to whether the BLA should be approved. The FDA is not bound by the recommendation of an advisory committee, but it often follows such recommendations. </w:t>
      </w:r>
    </w:p>
    <w:p>
      <w:pPr>
        <w:pStyle w:val="TextBody"/>
        <w:bidi w:val="0"/>
        <w:spacing w:before="180" w:after="0"/>
        <w:jc w:val="left"/>
        <w:rPr>
          <w:rFonts w:ascii="Arial" w:hAnsi="Arial"/>
          <w:sz w:val="19"/>
        </w:rPr>
      </w:pPr>
      <w:r>
        <w:rPr>
          <w:rFonts w:ascii="Arial" w:hAnsi="Arial"/>
          <w:sz w:val="19"/>
        </w:rPr>
        <w:t xml:space="preserve">Before approving a BLA, the FDA will typically inspect one or more clinical sites to assure compliance with GCPs. Additionally, the FDA will generally inspect the facility or the facilities at which the biologic product is manufactured. The FDA will not approve the product unless compliance with cGMP is satisfactory and adequate to assure consistent production of the product within required specifications.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After the FDA evaluates the BLA and completes any clinical and manufacturing site inspections, it issues either an approval letter or a complete response letter. A complete response letter generally outlines the deficiencies in the BLA and may require substantial additional clinical or nonclinical testing, or other information, in order for the FDA to reconsider the BLA for approval. If, or when, those deficiencies have been addressed to the FDA’s satisfaction in a resubmission of the BLA, the FDA will issue an approval letter. The FDA has committed to reviewing such resubmissions in two or six months depending on the type of information included. Even if such data and information are submitted, the FDA may decide that the BLA does not satisfy the criteria for approval. </w:t>
      </w:r>
    </w:p>
    <w:p>
      <w:pPr>
        <w:pStyle w:val="TextBody"/>
        <w:bidi w:val="0"/>
        <w:spacing w:before="180" w:after="0"/>
        <w:jc w:val="left"/>
        <w:rPr>
          <w:rFonts w:ascii="Arial" w:hAnsi="Arial"/>
          <w:sz w:val="19"/>
        </w:rPr>
      </w:pPr>
      <w:r>
        <w:rPr>
          <w:rFonts w:ascii="Arial" w:hAnsi="Arial"/>
          <w:sz w:val="19"/>
        </w:rPr>
        <w:t xml:space="preserve">An approval letter authorizes commercial marketing and distribution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the FDA may require substantial post-approval testing, sometimes referred to as Phase 4 testing, and surveillance to monitor the product’s safety or efficacy. </w:t>
      </w:r>
    </w:p>
    <w:p>
      <w:pPr>
        <w:pStyle w:val="TextBody"/>
        <w:bidi w:val="0"/>
        <w:spacing w:before="180" w:after="0"/>
        <w:jc w:val="left"/>
        <w:rPr>
          <w:rFonts w:ascii="Arial" w:hAnsi="Arial"/>
          <w:sz w:val="19"/>
        </w:rPr>
      </w:pPr>
      <w:r>
        <w:rPr>
          <w:rFonts w:ascii="Arial" w:hAnsi="Arial"/>
          <w:sz w:val="19"/>
        </w:rPr>
        <w:t xml:space="preserve">Once granted, product approvals may be withdrawn if compliance with regulatory standards is not maintained, or problems are identified following initial marketing. Changes to some of the conditions established in an approved BLA,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w:t>
      </w:r>
    </w:p>
    <w:p>
      <w:pPr>
        <w:pStyle w:val="TextBody"/>
        <w:bidi w:val="0"/>
        <w:spacing w:before="240" w:after="0"/>
        <w:jc w:val="left"/>
        <w:rPr>
          <w:rFonts w:ascii="Arial" w:hAnsi="Arial"/>
          <w:b/>
          <w:sz w:val="20"/>
        </w:rPr>
      </w:pPr>
      <w:r>
        <w:rPr>
          <w:rFonts w:ascii="Arial" w:hAnsi="Arial"/>
          <w:b/>
          <w:sz w:val="20"/>
        </w:rPr>
        <w:t xml:space="preserve">Disclosure of Clinical Trial Information </w:t>
      </w:r>
    </w:p>
    <w:p>
      <w:pPr>
        <w:pStyle w:val="TextBody"/>
        <w:bidi w:val="0"/>
        <w:spacing w:before="80" w:after="0"/>
        <w:jc w:val="left"/>
        <w:rPr>
          <w:rFonts w:ascii="Arial" w:hAnsi="Arial"/>
          <w:sz w:val="19"/>
        </w:rPr>
      </w:pPr>
      <w:r>
        <w:rPr>
          <w:rFonts w:ascii="Arial" w:hAnsi="Arial"/>
          <w:sz w:val="19"/>
        </w:rPr>
        <w:t xml:space="preserve">Sponsors of clinical trials of FDA-regulated products, including biologics,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 </w:t>
      </w:r>
    </w:p>
    <w:p>
      <w:pPr>
        <w:pStyle w:val="TextBody"/>
        <w:bidi w:val="0"/>
        <w:spacing w:before="80" w:after="0"/>
        <w:jc w:val="left"/>
        <w:rPr>
          <w:rFonts w:ascii="Arial" w:hAnsi="Arial"/>
          <w:b/>
          <w:i/>
          <w:sz w:val="19"/>
        </w:rPr>
      </w:pPr>
      <w:r>
        <w:rPr>
          <w:rFonts w:ascii="Arial" w:hAnsi="Arial"/>
          <w:b/>
          <w:i/>
          <w:sz w:val="19"/>
        </w:rPr>
        <w:t xml:space="preserve">Additional Controls for Biologics </w:t>
      </w:r>
    </w:p>
    <w:p>
      <w:pPr>
        <w:pStyle w:val="TextBody"/>
        <w:bidi w:val="0"/>
        <w:spacing w:before="40" w:after="0"/>
        <w:jc w:val="left"/>
        <w:rPr>
          <w:rFonts w:ascii="Arial" w:hAnsi="Arial"/>
          <w:sz w:val="19"/>
        </w:rPr>
      </w:pPr>
      <w:r>
        <w:rPr>
          <w:rFonts w:ascii="Arial" w:hAnsi="Arial"/>
          <w:sz w:val="19"/>
        </w:rPr>
        <w:t xml:space="preserve">To help reduce the increased risk of the introduction of adventitious agents, the PHS Act emphasizes the importance of manufacturing controls for products whose attributes cannot be precisely defined. The PHS Act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 </w:t>
      </w:r>
    </w:p>
    <w:p>
      <w:pPr>
        <w:pStyle w:val="TextBody"/>
        <w:bidi w:val="0"/>
        <w:spacing w:before="180" w:after="0"/>
        <w:jc w:val="left"/>
        <w:rPr>
          <w:rFonts w:ascii="Arial" w:hAnsi="Arial"/>
          <w:sz w:val="19"/>
        </w:rPr>
      </w:pPr>
      <w:r>
        <w:rPr>
          <w:rFonts w:ascii="Arial" w:hAnsi="Arial"/>
          <w:sz w:val="19"/>
        </w:rPr>
        <w:t xml:space="preserve">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After approval of a BLA, biologics manufacturers must address any safety issues that arise, are subject to recalls or a halt in manufacturing, and are subject to periodic inspection after approval. </w:t>
      </w:r>
    </w:p>
    <w:p>
      <w:pPr>
        <w:pStyle w:val="TextBody"/>
        <w:bidi w:val="0"/>
        <w:spacing w:before="80" w:after="0"/>
        <w:jc w:val="left"/>
        <w:rPr>
          <w:rFonts w:ascii="Arial" w:hAnsi="Arial"/>
          <w:b/>
          <w:i/>
          <w:sz w:val="19"/>
        </w:rPr>
      </w:pPr>
      <w:r>
        <w:rPr>
          <w:rFonts w:ascii="Arial" w:hAnsi="Arial"/>
          <w:b/>
          <w:i/>
          <w:sz w:val="19"/>
        </w:rPr>
        <w:t xml:space="preserve">Orphan Drug Designation </w:t>
      </w:r>
    </w:p>
    <w:p>
      <w:pPr>
        <w:pStyle w:val="TextBody"/>
        <w:bidi w:val="0"/>
        <w:spacing w:before="40" w:after="0"/>
        <w:jc w:val="left"/>
        <w:rPr>
          <w:rFonts w:ascii="Arial" w:hAnsi="Arial"/>
          <w:sz w:val="19"/>
        </w:rPr>
      </w:pPr>
      <w:r>
        <w:rPr>
          <w:rFonts w:ascii="Arial" w:hAnsi="Arial"/>
          <w:sz w:val="19"/>
        </w:rPr>
        <w:t xml:space="preserve">Under the Orphan Drug Act, the FDA may grant orphan designation to a drug or biologic intended to treat patients with a rare disease or condition, which is a disease or condition that affects fewer than 200,000 individuals in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before="180" w:after="0"/>
        <w:jc w:val="left"/>
        <w:rPr>
          <w:rFonts w:ascii="Arial" w:hAnsi="Arial"/>
          <w:sz w:val="19"/>
        </w:rPr>
      </w:pPr>
      <w:r>
        <w:rPr>
          <w:rFonts w:ascii="Arial" w:hAnsi="Arial"/>
          <w:sz w:val="19"/>
        </w:rPr>
        <w:t xml:space="preserve">If a product that has Orphan Drug Designation subsequently receives the first FDA approval for the rare disease or condition for which it has such designation, the product is entitled to orphan drug exclusive approval (or exclusivity), which means that the FDA may not approve any other applications, including a full BLA, to market the same drug for the same approved indication or use for seven years, except in limited circumstances, such as a showing of clinical superiority to the product with orphan drug exclusivity within the relevant indication or use, or if the holder of the orphan drug exclusivity cannot assure the availability of sufficient quantities of the orphan drug to meet the needs relating to the approved indication or use of patients with the relevant disease or condition. Orphan drug exclusivity does not prevent the FDA from approving a different drug or biologic for the same indication or use, or the same drug or biologic for a different indication or use. Among the other benefits of Orphan Drug Designation are tax credits for certain research and a waiver of the BLA application user fee. </w:t>
      </w:r>
    </w:p>
    <w:p>
      <w:pPr>
        <w:pStyle w:val="TextBody"/>
        <w:bidi w:val="0"/>
        <w:spacing w:before="80" w:after="0"/>
        <w:jc w:val="left"/>
        <w:rPr>
          <w:rFonts w:ascii="Arial" w:hAnsi="Arial"/>
          <w:b/>
          <w:i/>
          <w:sz w:val="19"/>
        </w:rPr>
      </w:pPr>
      <w:r>
        <w:rPr>
          <w:rFonts w:ascii="Arial" w:hAnsi="Arial"/>
          <w:b/>
          <w:i/>
          <w:sz w:val="19"/>
        </w:rPr>
        <w:t xml:space="preserve">Expedited Development and Review Programs </w:t>
      </w:r>
    </w:p>
    <w:p>
      <w:pPr>
        <w:pStyle w:val="TextBody"/>
        <w:bidi w:val="0"/>
        <w:spacing w:before="40" w:after="0"/>
        <w:jc w:val="left"/>
        <w:rPr>
          <w:rFonts w:ascii="Arial" w:hAnsi="Arial"/>
          <w:sz w:val="19"/>
        </w:rPr>
      </w:pPr>
      <w:r>
        <w:rPr>
          <w:rFonts w:ascii="Arial" w:hAnsi="Arial"/>
          <w:sz w:val="19"/>
        </w:rPr>
        <w:t xml:space="preserve">The FDA offers a number of programs intended to expedite the development or review of a marketing application for an investigational biologic. For example, the Fast Track designation program is intended to expedite or facilitate the process for developing and reviewing product candidates that meet certain criteria. Specifically, investigational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BLA is submitted, the application may be eligible for priority review. With regard to a Fast Track product candidate, the FDA may consider for review sections of the BLA on a rolling basis before the complete application is submitted, if the sponsor provides a schedule for the submission of the sections of the BLA, the FDA agrees to accept sections of the NDA or BLA and determines that the schedule is acceptable, and the sponsor pays any required user fees upon submission of the first section of the BLA. </w:t>
      </w:r>
    </w:p>
    <w:p>
      <w:pPr>
        <w:pStyle w:val="TextBody"/>
        <w:bidi w:val="0"/>
        <w:spacing w:before="180" w:after="0"/>
        <w:jc w:val="left"/>
        <w:rPr>
          <w:rFonts w:ascii="Arial" w:hAnsi="Arial"/>
          <w:sz w:val="19"/>
        </w:rPr>
      </w:pPr>
      <w:r>
        <w:rPr>
          <w:rFonts w:ascii="Arial" w:hAnsi="Arial"/>
          <w:sz w:val="19"/>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180" w:after="0"/>
        <w:jc w:val="left"/>
        <w:rPr>
          <w:rFonts w:ascii="Arial" w:hAnsi="Arial"/>
          <w:sz w:val="19"/>
        </w:rPr>
      </w:pPr>
      <w:r>
        <w:rPr>
          <w:rFonts w:ascii="Arial" w:hAnsi="Arial"/>
          <w:sz w:val="19"/>
        </w:rPr>
        <w:t xml:space="preserve">In addition, a BLA may be eligible for priority review if the product candidate is designed to treat a serious condition, and if approved, would provide a significant improvement in safety or efficacy compared to available therapies for such disease or condition. The FDA will attempt to direct additional resources to the evaluation of a BLA designated for priority review in an effort to facilitate the review. Priority review designation means the FDA’s goal is to take action on the marketing application within six months of the 60-day filing date, as compared to ten months for standard review under current PDUFA goals. </w:t>
      </w:r>
    </w:p>
    <w:p>
      <w:pPr>
        <w:pStyle w:val="TextBody"/>
        <w:bidi w:val="0"/>
        <w:spacing w:before="180" w:after="0"/>
        <w:jc w:val="left"/>
        <w:rPr>
          <w:rFonts w:ascii="Arial" w:hAnsi="Arial"/>
          <w:sz w:val="19"/>
        </w:rPr>
      </w:pPr>
      <w:r>
        <w:rPr>
          <w:rFonts w:ascii="Arial" w:hAnsi="Arial"/>
          <w:sz w:val="19"/>
        </w:rPr>
        <w:t xml:space="preserve">In addition, depending on the design of the applicable clinical trials, a product candidate may be eligible for accelerated approval. Specifically,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biologic receiving accelerated approval perform adequate and well-controlled confirmatory clinical trials and may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require that such confirmatory trials be underway prior to granting accelerated approval. Biologics receiving accelerated approval may be subject to expedited withdrawal procedures if the sponsor fails to conduct the required confirmatory trials in a timely manner or if such trials fail to verify the predicted clinical benefit. In addition, the FDA requires pre-approval of promotional materials as a condition of accelerated approval, which could adversely impact the timing of the commercial launch of the product. </w:t>
      </w:r>
    </w:p>
    <w:p>
      <w:pPr>
        <w:pStyle w:val="TextBody"/>
        <w:bidi w:val="0"/>
        <w:spacing w:before="180" w:after="0"/>
        <w:jc w:val="left"/>
        <w:rPr>
          <w:rFonts w:ascii="Arial" w:hAnsi="Arial"/>
          <w:sz w:val="19"/>
        </w:rPr>
      </w:pPr>
      <w:r>
        <w:rPr>
          <w:rFonts w:ascii="Arial" w:hAnsi="Arial"/>
          <w:sz w:val="19"/>
        </w:rPr>
        <w:t xml:space="preserve">Fast Track designation, Breakthrough Therapy designation, priority review, and accelerated approval do not change the standards for approval, but they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80" w:after="0"/>
        <w:jc w:val="left"/>
        <w:rPr>
          <w:rFonts w:ascii="Arial" w:hAnsi="Arial"/>
          <w:b/>
          <w:i/>
          <w:sz w:val="19"/>
        </w:rPr>
      </w:pPr>
      <w:r>
        <w:rPr>
          <w:rFonts w:ascii="Arial" w:hAnsi="Arial"/>
          <w:b/>
          <w:i/>
          <w:sz w:val="19"/>
        </w:rPr>
        <w:t xml:space="preserve">U.S. Patent Term Restoration, Marketing Exclusivity, and Biosimilars </w:t>
      </w:r>
    </w:p>
    <w:p>
      <w:pPr>
        <w:pStyle w:val="TextBody"/>
        <w:bidi w:val="0"/>
        <w:spacing w:before="40" w:after="0"/>
        <w:jc w:val="left"/>
        <w:rPr>
          <w:rFonts w:ascii="Arial" w:hAnsi="Arial"/>
          <w:sz w:val="19"/>
        </w:rPr>
      </w:pPr>
      <w:r>
        <w:rPr>
          <w:rFonts w:ascii="Arial" w:hAnsi="Arial"/>
          <w:sz w:val="19"/>
        </w:rPr>
        <w:t xml:space="preserve">Depending upon the timing, duration, and specifics of FDA approval of our product candidates, some of our U.S. patents may be eligible for limited patent term extension under the Drug Price Competition and Patent Term Restoration Act of 1984 (the Hatch-Waxman Amendments). The Hatch-Waxman Amendments provide for a patent term extension of up to five years as compensation for patent term lost during the FDA regulatory review process, subject to applicable statutory and regulatory requirements. Patent term extension, however, cannot extend the remaining term of a patent beyond a total of 14 years from the product’s approval date. The patent term extension period is generally one half the time between the effective date of an IND and the submission date of a BLA, plus the entire period between the submission date of a BLA and the approval of that application, subject to a maximum extension of five years and the 14-year post-approval cap. If the patent selected for extension was issued after the start of the review period, only the portion of the review period occurring after patent issuance is considered in calculating the extension. The review period will be reduced by any time during which the applicant failed to exercise due diligence. Only one patent applicable to an approved drug is eligible for such an extension and such patent may be extended only once, only those claims covering the approved drug, a method for using it, or a method for manufacturing it may be extended, and the application for the extension must be submitted prior to the expiration of the patent. Such application must be submitted within 60 days of the product’s approval. The USPTO, in consultation with the FDA, determines the eligibility of a patent for patent term extension and the length of such extension, if any, and there can be no assurance that any of our U.S. patents will be eligible for, or receive, the patent term extension, or that any such extension will be granted for the full period sought. </w:t>
      </w:r>
    </w:p>
    <w:p>
      <w:pPr>
        <w:pStyle w:val="TextBody"/>
        <w:bidi w:val="0"/>
        <w:spacing w:before="180" w:after="0"/>
        <w:jc w:val="left"/>
        <w:rPr>
          <w:rFonts w:ascii="Arial" w:hAnsi="Arial"/>
          <w:sz w:val="19"/>
        </w:rPr>
      </w:pPr>
      <w:r>
        <w:rPr>
          <w:rFonts w:ascii="Arial" w:hAnsi="Arial"/>
          <w:sz w:val="19"/>
        </w:rPr>
        <w:t xml:space="preserve">The Biologics Price Competition and Innovation Act of 2009 (BPCIA) created an abbreviated approval pathway for biological products shown to be highly similar to or interchangeable with an FDA-licensed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may be shown through analytical studies, toxicity studies,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Under most state laws, interchangeable products may be used in place of the reference biological product. </w:t>
      </w:r>
    </w:p>
    <w:p>
      <w:pPr>
        <w:pStyle w:val="TextBody"/>
        <w:bidi w:val="0"/>
        <w:spacing w:before="180" w:after="0"/>
        <w:jc w:val="left"/>
        <w:rPr>
          <w:rFonts w:ascii="Arial" w:hAnsi="Arial"/>
          <w:sz w:val="19"/>
        </w:rPr>
      </w:pPr>
      <w:r>
        <w:rPr>
          <w:rFonts w:ascii="Arial" w:hAnsi="Arial"/>
          <w:sz w:val="19"/>
        </w:rPr>
        <w:t xml:space="preserve">A reference biologic is granted 12 years of marketing exclusivity from the time of first licensure, or BLA approval, of the reference product, and no application for a biosimilar or interchangeable product referencing the reference product can be accepted by the FDA for four years from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first biologic product submitted under the biosimilar abbreviated approval pathway that is licensed as interchangeable with the reference product has exclusivity against the approval of other interchangeable biologics for the same condition of use for the lesser of (i) one year after first commercial marketing of the first interchangeable biosimilar, (ii) 18 months after the first interchangeable biosimilar is approved if there is no patent challenge under the BPCIA patent-litigation provisions, (iii) 18 months after resolution of a lawsuit under the BPCIA patent-litigation provisions over the patents of the reference biologic in favor of the first interchangeable biosimilar applicant, or (iv) 42 months after the first interchangeable biosimilar’s application has been approved if a patent lawsuit under the BPCIA patent-litigation provisions is ongoing within the 42-month period. </w:t>
      </w:r>
    </w:p>
    <w:p>
      <w:pPr>
        <w:pStyle w:val="TextBody"/>
        <w:bidi w:val="0"/>
        <w:spacing w:before="80" w:after="0"/>
        <w:jc w:val="left"/>
        <w:rPr>
          <w:rFonts w:ascii="Arial" w:hAnsi="Arial"/>
          <w:b/>
          <w:i/>
          <w:sz w:val="19"/>
        </w:rPr>
      </w:pPr>
      <w:r>
        <w:rPr>
          <w:rFonts w:ascii="Arial" w:hAnsi="Arial"/>
          <w:b/>
          <w:i/>
          <w:sz w:val="19"/>
        </w:rPr>
        <w:t xml:space="preserve">Pediatric Information </w:t>
      </w:r>
    </w:p>
    <w:p>
      <w:pPr>
        <w:pStyle w:val="TextBody"/>
        <w:bidi w:val="0"/>
        <w:spacing w:before="40" w:after="0"/>
        <w:jc w:val="left"/>
        <w:rPr>
          <w:rFonts w:ascii="Arial" w:hAnsi="Arial"/>
          <w:sz w:val="19"/>
        </w:rPr>
      </w:pPr>
      <w:r>
        <w:rPr>
          <w:rFonts w:ascii="Arial" w:hAnsi="Arial"/>
          <w:sz w:val="19"/>
        </w:rPr>
        <w:t xml:space="preserve">Under the Pediatric Research Equity Act (PREA), BLAs or supplements to BLAs must contain data to assess the safety and effectiveness of the biological product candidate for the claimed indications in all relevant pediatric subpopulations and to support dosing and administration for each pediatric subpopulation for which the biological product is deemed safe, pure and potent. The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Unless otherwise required by regulation, PREA does not apply to any biological product for a disease or condition for which orphan designation has been granted, though still applies to any non-orphan-designated indication. </w:t>
      </w:r>
    </w:p>
    <w:p>
      <w:pPr>
        <w:pStyle w:val="TextBody"/>
        <w:bidi w:val="0"/>
        <w:spacing w:before="180" w:after="0"/>
        <w:jc w:val="left"/>
        <w:rPr>
          <w:rFonts w:ascii="Arial" w:hAnsi="Arial"/>
          <w:sz w:val="19"/>
        </w:rPr>
      </w:pPr>
      <w:r>
        <w:rPr>
          <w:rFonts w:ascii="Arial" w:hAnsi="Arial"/>
          <w:sz w:val="19"/>
        </w:rPr>
        <w:t xml:space="preserve">The Best Pharmaceuticals for Children Act (BPCA) provides a six-month extension of non-patent exclusivity and certain patent terms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 frame. Applications under the BPCA are treated as priority applications, with all of the benefits that designation confers; however, a sponsor need not obtain approval for the use of the biologic within the relevant pediatric disease or condition to obtain pediatric exclusivity. </w:t>
      </w:r>
    </w:p>
    <w:p>
      <w:pPr>
        <w:pStyle w:val="TextBody"/>
        <w:bidi w:val="0"/>
        <w:spacing w:before="80" w:after="0"/>
        <w:jc w:val="left"/>
        <w:rPr>
          <w:rFonts w:ascii="Arial" w:hAnsi="Arial"/>
          <w:b/>
          <w:i/>
          <w:sz w:val="19"/>
        </w:rPr>
      </w:pPr>
      <w:r>
        <w:rPr>
          <w:rFonts w:ascii="Arial" w:hAnsi="Arial"/>
          <w:b/>
          <w:i/>
          <w:sz w:val="19"/>
        </w:rPr>
        <w:t xml:space="preserve">Post-Approval Requirements </w:t>
      </w:r>
    </w:p>
    <w:p>
      <w:pPr>
        <w:pStyle w:val="TextBody"/>
        <w:bidi w:val="0"/>
        <w:spacing w:before="40" w:after="0"/>
        <w:jc w:val="left"/>
        <w:rPr>
          <w:rFonts w:ascii="Arial" w:hAnsi="Arial"/>
          <w:sz w:val="19"/>
        </w:rPr>
      </w:pPr>
      <w:r>
        <w:rPr>
          <w:rFonts w:ascii="Arial" w:hAnsi="Arial"/>
          <w:sz w:val="19"/>
        </w:rPr>
        <w:t xml:space="preserve">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 </w:t>
      </w:r>
    </w:p>
    <w:p>
      <w:pPr>
        <w:pStyle w:val="TextBody"/>
        <w:bidi w:val="0"/>
        <w:spacing w:before="180" w:after="0"/>
        <w:jc w:val="left"/>
        <w:rPr>
          <w:rFonts w:ascii="Arial" w:hAnsi="Arial"/>
          <w:sz w:val="19"/>
        </w:rPr>
      </w:pPr>
      <w:r>
        <w:rPr>
          <w:rFonts w:ascii="Arial" w:hAnsi="Arial"/>
          <w:sz w:val="19"/>
        </w:rPr>
        <w:t xml:space="preserve">The FDA strictly regulates marketing, labeling, advertising, and promotion of biologics that are placed on the market. Advertising and promotion of biologics must be in compliance with the FDC Act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180" w:after="0"/>
        <w:jc w:val="left"/>
        <w:rPr>
          <w:rFonts w:ascii="Arial" w:hAnsi="Arial"/>
          <w:sz w:val="19"/>
        </w:rPr>
      </w:pPr>
      <w:r>
        <w:rPr>
          <w:rFonts w:ascii="Arial" w:hAnsi="Arial"/>
          <w:sz w:val="19"/>
        </w:rPr>
        <w:t xml:space="preserve">Adverse event reporting and submission of periodic reports is required following FDA approval of a BLA. The FDA also may require post-marketing testing, including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after approval. Biologic manufacturers and certain of their subcontractors are required to register their establishments with the FDA and certain state agencies. Registration with the FDA subjects entities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to periodic unannounced inspections by the FDA, during which the agency inspects a biologic product’s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w:t>
      </w:r>
    </w:p>
    <w:p>
      <w:pPr>
        <w:pStyle w:val="TextBody"/>
        <w:bidi w:val="0"/>
        <w:spacing w:before="180" w:after="0"/>
        <w:jc w:val="left"/>
        <w:rPr>
          <w:rFonts w:ascii="Arial" w:hAnsi="Arial"/>
          <w:sz w:val="19"/>
        </w:rPr>
      </w:pPr>
      <w:r>
        <w:rPr>
          <w:rFonts w:ascii="Arial" w:hAnsi="Arial"/>
          <w:sz w:val="19"/>
        </w:rPr>
        <w:t xml:space="preserve">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Form 483s, restrictions on the manufacturing of the product, product recalls or withdrawal of the product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warning or untitled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refusal of the FDA to accept new marketing applications or approve pending applications or supplements to approved applications, or suspension or revocation of product approvals or licensures;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injunctions or the imposition of fines or civil or criminal penalties. </w:t>
            </w:r>
          </w:p>
        </w:tc>
      </w:tr>
    </w:tbl>
    <w:p>
      <w:pPr>
        <w:pStyle w:val="TextBody"/>
        <w:bidi w:val="0"/>
        <w:spacing w:before="80" w:after="0"/>
        <w:jc w:val="left"/>
        <w:rPr>
          <w:rFonts w:ascii="Arial" w:hAnsi="Arial"/>
          <w:b/>
          <w:i/>
          <w:sz w:val="19"/>
        </w:rPr>
      </w:pPr>
      <w:r>
        <w:rPr>
          <w:rFonts w:ascii="Arial" w:hAnsi="Arial"/>
          <w:b/>
          <w:i/>
          <w:sz w:val="19"/>
        </w:rPr>
        <w:t xml:space="preserve">Healthcare Laws and Regulations </w:t>
      </w:r>
    </w:p>
    <w:p>
      <w:pPr>
        <w:pStyle w:val="TextBody"/>
        <w:bidi w:val="0"/>
        <w:spacing w:before="40" w:after="0"/>
        <w:jc w:val="left"/>
        <w:rPr>
          <w:rFonts w:ascii="Arial" w:hAnsi="Arial"/>
          <w:sz w:val="19"/>
        </w:rPr>
      </w:pPr>
      <w:r>
        <w:rPr>
          <w:rFonts w:ascii="Arial" w:hAnsi="Arial"/>
          <w:sz w:val="19"/>
        </w:rPr>
        <w:t xml:space="preserve">Sales of pharmaceutical products and related activities, such as arrangements with investigators, healthcare professionals, consultants, third-party payors, patient organizations, and customers, are subject to fraud and abuse and other healthcare laws and regulations, which are enforced by the federal government and the states and foreign governments in which the business is conducted. Applicable healthcare laws and regulations that may affect a company’s ability to operate if and when marketing approval is granted for a product candidate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Anti-Kickback Statute, which prohibits, among other things, individuals and entities from knowingly and willfully soliciting, receiving, offering, or providing remuneration (including any kickback, bribe or rebate), directly or indirectly, overtly or covertly, in cash or in kind, to induce or reward, or in return for, either the referral of an individual for, or the purchase, order, or recommendation of, any good or service for which payment may be made, in whole or in part, under a federal or state healthcare program, such as Medicare or Medicaid. The term “remuneration” has been broadly interpreted to include anything of value. Rather, if “one purpose” of the remuneration is to induce referrals, the federal Anti-Kickback Statute is violated. In addition,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federal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federal criminal and civil false claims laws, including the federal False Claims Act (FCA), which can be enforced through civil whistleblower or “qui tam” actions against individuals or entities, and prohibits,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Health Insurance Portability and Accountability Act (HIPAA), which prohibits, among other things, knowingly and willfully executing, or attempting to execute, a scheme to defraud any healthcare benefit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09"/>
        <w:gridCol w:w="9396"/>
      </w:tblGrid>
      <w:tr>
        <w:trPr/>
        <w:tc>
          <w:tcPr>
            <w:tcW w:w="809" w:type="dxa"/>
            <w:tcBorders/>
            <w:vAlign w:val="center"/>
          </w:tcPr>
          <w:p>
            <w:pPr>
              <w:pStyle w:val="TableContents"/>
              <w:bidi w:val="0"/>
              <w:spacing w:before="0" w:after="283"/>
              <w:jc w:val="left"/>
              <w:rPr/>
            </w:pPr>
            <w:r>
              <w:rPr/>
              <w:t> </w:t>
            </w:r>
          </w:p>
        </w:tc>
        <w:tc>
          <w:tcPr>
            <w:tcW w:w="9396" w:type="dxa"/>
            <w:tcBorders/>
          </w:tcPr>
          <w:p>
            <w:pPr>
              <w:pStyle w:val="TableContents"/>
              <w:bidi w:val="0"/>
              <w:spacing w:before="0" w:after="0"/>
              <w:jc w:val="left"/>
              <w:rPr>
                <w:rFonts w:ascii="Arial" w:hAnsi="Arial"/>
                <w:sz w:val="19"/>
              </w:rPr>
            </w:pPr>
            <w:r>
              <w:rPr>
                <w:rFonts w:ascii="Arial" w:hAnsi="Arial"/>
                <w:sz w:val="19"/>
              </w:rPr>
              <w:t xml:space="preserve">program or obtain, by means of false or fraudulent pretenses, representations or promises, any of the money or property owned by, or under the custody or control of, any healthcare benefit program, regardless of payor (e.g., public or private), or knowingly and willfully falsifying, concealing or covering up a material fact or making any materially false statement in connection with the delivery of or payment for healthcare benefits, items or services. Similar to the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HIPAA, as amended by the Health Information Technology for Economic and Clinical Health Act of 2009 (HITECH) and their respective implementing regulations, which impose obligations on certain covered healthcare providers, health plans, and healthcare clearinghouses, as well as their respective business associates and subcontractors that perform certain services involving the storage, use or disclosure of individually identifiable health information for or on behalf of a covered entity and their business associates,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other health care professionals (such as physician assistants, nurse practitioners, clinical nurse specialists, anesthesiologist assistants, certified registered nurse anesthetists, and certain nurse midwives) and teaching hospitals, as well as ownership and investment interests held by the physicians described above and their immediate family members, with the information made publicly available on a searchable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analogous state and foreign laws and regulations, such as state anti-kickback and false claims laws, that may apply to sales or marketing arrangements and claims involving healthcare items or services reimbursed under Medicaid and other state programs, or in several states, apply regardless of payor, including private insurers and cash-pay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state laws that require the registration of manufacturers and wholesale distributors of drug and biological products who ship into a state, including in certain states that require registration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certain state laws that require pharmaceutical and biotechnology companies to establish marketing compliance programs and comply with the pharmaceutical industry’s voluntary compliance guidelines and the relevant compliance guidance promulgated by the federal government in addition to requiring drug manufacturers to report information related to payments to physicians and other healthcare or marketing expenditures and drug pricing information, and state and local laws that require the registration of pharmaceutical sales representatives, and to prohibit certain other sales and marketing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analogous foreign laws and regulations, including restrictions imposed on the promotion and marketing of medicinal products in European Union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w:t>
            </w:r>
          </w:p>
        </w:tc>
      </w:tr>
    </w:tbl>
    <w:p>
      <w:pPr>
        <w:pStyle w:val="TextBody"/>
        <w:bidi w:val="0"/>
        <w:spacing w:before="180" w:after="0"/>
        <w:jc w:val="left"/>
        <w:rPr>
          <w:rFonts w:ascii="Arial" w:hAnsi="Arial"/>
          <w:sz w:val="19"/>
        </w:rPr>
      </w:pPr>
      <w:r>
        <w:rPr>
          <w:rFonts w:ascii="Arial" w:hAnsi="Arial"/>
          <w:sz w:val="19"/>
        </w:rPr>
        <w:t xml:space="preserve">Additionally, we are subject to foreign as well as U.S. federal and state laws and regulations governing the collection, use, access to, confidentiality, privacy and security of health-related and other personal information, many of which differ from each other in significant ways and often are not preempted by HIPAA. Violations of any such requirements, may result in significant penalties, including civil, criminal and administrative penalties, damages,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fines, disgorgement, imprisonment, the curtailment or restructuring of operations, loss of eligibility to obtain approvals from the FDA or foreign regulatory authorities, exclusion from participation in government contracting, healthcare reimbursement or other government programs, including Medicare and Medicaid, integrity oversight and reporting obligations, or reputational harm. </w:t>
      </w:r>
    </w:p>
    <w:p>
      <w:pPr>
        <w:pStyle w:val="TextBody"/>
        <w:bidi w:val="0"/>
        <w:spacing w:before="80" w:after="0"/>
        <w:jc w:val="left"/>
        <w:rPr>
          <w:rFonts w:ascii="Arial" w:hAnsi="Arial"/>
          <w:i/>
          <w:sz w:val="19"/>
        </w:rPr>
      </w:pPr>
      <w:r>
        <w:rPr>
          <w:rFonts w:ascii="Arial" w:hAnsi="Arial"/>
          <w:i/>
          <w:sz w:val="19"/>
        </w:rPr>
        <w:t xml:space="preserve">Pharmaceutical Coverage, Pricing and Reimbursement </w:t>
      </w:r>
    </w:p>
    <w:p>
      <w:pPr>
        <w:pStyle w:val="TextBody"/>
        <w:bidi w:val="0"/>
        <w:spacing w:before="40" w:after="0"/>
        <w:jc w:val="left"/>
        <w:rPr>
          <w:rFonts w:ascii="Arial" w:hAnsi="Arial"/>
          <w:sz w:val="19"/>
        </w:rPr>
      </w:pPr>
      <w:r>
        <w:rPr>
          <w:rFonts w:ascii="Arial" w:hAnsi="Arial"/>
          <w:sz w:val="19"/>
        </w:rPr>
        <w:t xml:space="preserve">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government authorities, private managed care providers, private health insurers, and other organizations, where there is no uniform policy for coverage and reimbursement and can differ significantly from payor to payor. </w:t>
      </w:r>
    </w:p>
    <w:p>
      <w:pPr>
        <w:pStyle w:val="TextBody"/>
        <w:bidi w:val="0"/>
        <w:spacing w:before="180" w:after="0"/>
        <w:jc w:val="left"/>
        <w:rPr>
          <w:rFonts w:ascii="Arial" w:hAnsi="Arial"/>
          <w:sz w:val="19"/>
        </w:rPr>
      </w:pPr>
      <w:r>
        <w:rPr>
          <w:rFonts w:ascii="Arial" w:hAnsi="Arial"/>
          <w:sz w:val="19"/>
        </w:rPr>
        <w:t xml:space="preserve">Third-party payors decide which drugs and treatments they will cover and the amount of reimbursement. Reimbursement by a third-party payor may depend upon a number of factors, including, but not limited to,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neither experimental nor investigational. </w:t>
            </w:r>
          </w:p>
        </w:tc>
      </w:tr>
    </w:tbl>
    <w:p>
      <w:pPr>
        <w:pStyle w:val="TextBody"/>
        <w:bidi w:val="0"/>
        <w:spacing w:before="180" w:after="0"/>
        <w:jc w:val="left"/>
        <w:rPr>
          <w:rFonts w:ascii="Arial" w:hAnsi="Arial"/>
          <w:sz w:val="19"/>
        </w:rPr>
      </w:pPr>
      <w:r>
        <w:rPr>
          <w:rFonts w:ascii="Arial" w:hAnsi="Arial"/>
          <w:sz w:val="19"/>
        </w:rPr>
        <w:t xml:space="preserve">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Companies may need to conduct expensive pharmaco-economic studies in order to demonstrate the medical necessity and cost-effectiveness of their products, in addition to the costs required to obtain the FDA approvals. Nonetheless, a product candidate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w:t>
      </w:r>
    </w:p>
    <w:p>
      <w:pPr>
        <w:pStyle w:val="TextBody"/>
        <w:bidi w:val="0"/>
        <w:spacing w:before="180" w:after="0"/>
        <w:jc w:val="left"/>
        <w:rPr>
          <w:rFonts w:ascii="Arial" w:hAnsi="Arial"/>
          <w:sz w:val="19"/>
        </w:rPr>
      </w:pPr>
      <w:r>
        <w:rPr>
          <w:rFonts w:ascii="Arial" w:hAnsi="Arial"/>
          <w:sz w:val="19"/>
        </w:rPr>
        <w:t xml:space="preserve">Governments and private third-party payors have attempted to control costs by limiting coverage and the amount of reimbursement for particular medications. For example, the U.S. Department of Health and Human Services (HHS) imposes rebates on many Medicare Part B and Medicare Part D products to penalize price increases that outpace inflation. HHS has also been empowered to negotiate the price of certain single-source drugs that have been on the market for at least seven (7) years without being the listed product for a generic, or certain BLA-licensed biological products on the market for at least eleven (11) years without being the reference biological product for a biosimilar,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Adequate third-party reimbursement may not be available to enable a company to maintain price levels sufficient to realize an appropriate return on its investment in product development. </w:t>
      </w:r>
    </w:p>
    <w:p>
      <w:pPr>
        <w:pStyle w:val="TextBody"/>
        <w:bidi w:val="0"/>
        <w:spacing w:before="180" w:after="0"/>
        <w:jc w:val="left"/>
        <w:rPr>
          <w:rFonts w:ascii="Arial" w:hAnsi="Arial"/>
          <w:sz w:val="19"/>
        </w:rPr>
      </w:pPr>
      <w:r>
        <w:rPr>
          <w:rFonts w:ascii="Arial" w:hAnsi="Arial"/>
          <w:sz w:val="19"/>
        </w:rPr>
        <w:t xml:space="preserve">Outside the United States, pricing of prescription pharmaceuticals is subject to governmental control in many countries. Pricing negotiations with governmental authorities can extend well beyond the receipt of regulatory marketing approval for a product. In the EU, pricing and reimbursement schemes vary widely from one member state to another. Some member states may require the completion of additional studies that compare the cost-effectiveness of a particular medicinal product candidate to currently available therapies or so-called Health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Technology Assessments (HTA),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The downward pressure on healthcare costs in general, and particularly in relation to prescription only medicinal products, has become more intense. As a result, increasingly high barriers are being erected to the entry of new products. </w:t>
      </w:r>
    </w:p>
    <w:p>
      <w:pPr>
        <w:pStyle w:val="TextBody"/>
        <w:bidi w:val="0"/>
        <w:spacing w:before="180" w:after="0"/>
        <w:jc w:val="left"/>
        <w:rPr>
          <w:rFonts w:ascii="Arial" w:hAnsi="Arial"/>
          <w:sz w:val="19"/>
        </w:rPr>
      </w:pPr>
      <w:r>
        <w:rPr>
          <w:rFonts w:ascii="Arial" w:hAnsi="Arial"/>
          <w:sz w:val="19"/>
        </w:rPr>
        <w:t xml:space="preserve">The marketability of any product candidates for which regulatory approval is granted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regulatory approval is granted, less favorable coverage policies and reimbursement rates may be implemented in the future. </w:t>
      </w:r>
    </w:p>
    <w:p>
      <w:pPr>
        <w:pStyle w:val="TextBody"/>
        <w:bidi w:val="0"/>
        <w:spacing w:before="80" w:after="0"/>
        <w:jc w:val="left"/>
        <w:rPr>
          <w:rFonts w:ascii="Arial" w:hAnsi="Arial"/>
          <w:i/>
          <w:sz w:val="19"/>
        </w:rPr>
      </w:pPr>
      <w:r>
        <w:rPr>
          <w:rFonts w:ascii="Arial" w:hAnsi="Arial"/>
          <w:i/>
          <w:sz w:val="19"/>
        </w:rPr>
        <w:t xml:space="preserve">Healthcare Reform </w:t>
      </w:r>
    </w:p>
    <w:p>
      <w:pPr>
        <w:pStyle w:val="TextBody"/>
        <w:bidi w:val="0"/>
        <w:spacing w:before="40" w:after="0"/>
        <w:jc w:val="left"/>
        <w:rPr>
          <w:rFonts w:ascii="Arial" w:hAnsi="Arial"/>
          <w:sz w:val="19"/>
        </w:rPr>
      </w:pPr>
      <w:r>
        <w:rPr>
          <w:rFonts w:ascii="Arial" w:hAnsi="Arial"/>
          <w:sz w:val="19"/>
        </w:rPr>
        <w:t xml:space="preserve">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 </w:t>
      </w:r>
    </w:p>
    <w:p>
      <w:pPr>
        <w:pStyle w:val="TextBody"/>
        <w:bidi w:val="0"/>
        <w:spacing w:before="180" w:after="0"/>
        <w:jc w:val="left"/>
        <w:rPr>
          <w:rFonts w:ascii="Arial" w:hAnsi="Arial"/>
          <w:sz w:val="19"/>
        </w:rPr>
      </w:pPr>
      <w:r>
        <w:rPr>
          <w:rFonts w:ascii="Arial" w:hAnsi="Arial"/>
          <w:sz w:val="19"/>
        </w:rPr>
        <w:t xml:space="preserve">Additionally, in March 2010, the Patient Protection and Affordable Care Act, as amended by the Health Care and Education Reconciliation Act (collectively,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w:t>
      </w:r>
    </w:p>
    <w:p>
      <w:pPr>
        <w:pStyle w:val="TextBody"/>
        <w:bidi w:val="0"/>
        <w:spacing w:before="180" w:after="0"/>
        <w:jc w:val="left"/>
        <w:rPr>
          <w:rFonts w:ascii="Arial" w:hAnsi="Arial"/>
          <w:sz w:val="19"/>
        </w:rPr>
      </w:pPr>
      <w:r>
        <w:rPr>
          <w:rFonts w:ascii="Arial" w:hAnsi="Arial"/>
          <w:sz w:val="19"/>
        </w:rPr>
        <w:t xml:space="preserve">Other legislative changes have been proposed and adopted in the United States since the ACA was enacted. These changes include aggregate reductions to Medicare payments to providers, which began in 2013 and will remain in effect until 2032 unless additional Congressional action is taken. </w:t>
      </w:r>
    </w:p>
    <w:p>
      <w:pPr>
        <w:pStyle w:val="TextBody"/>
        <w:bidi w:val="0"/>
        <w:spacing w:before="180" w:after="0"/>
        <w:jc w:val="left"/>
        <w:rPr>
          <w:rFonts w:ascii="Arial" w:hAnsi="Arial"/>
          <w:sz w:val="19"/>
        </w:rPr>
      </w:pPr>
      <w:r>
        <w:rPr>
          <w:rFonts w:ascii="Arial" w:hAnsi="Arial"/>
          <w:sz w:val="19"/>
        </w:rPr>
        <w:t xml:space="preserve">The federal administration is pursuing policies to reduce regulations and expenditures across government, including at HHS, which include the FDA and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certain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Further, in June 2024, the U.S. Supreme Court’s Loper Bright decision greatly reduced judicial deference to regulatory agencies, which could increase successful legal challenges to federal regulations affecting our operations. These actions and policies may significantly reduce U.S. drug prices, potentially impacting manufacturers’ global pricing strategies and profitability, while increasing their operational costs and compliance risks. </w:t>
      </w:r>
    </w:p>
    <w:p>
      <w:pPr>
        <w:pStyle w:val="TextBody"/>
        <w:bidi w:val="0"/>
        <w:spacing w:before="180" w:after="0"/>
        <w:jc w:val="left"/>
        <w:rPr>
          <w:rFonts w:ascii="Arial" w:hAnsi="Arial"/>
          <w:sz w:val="19"/>
        </w:rPr>
      </w:pPr>
      <w:r>
        <w:rPr>
          <w:rFonts w:ascii="Arial" w:hAnsi="Arial"/>
          <w:sz w:val="19"/>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180" w:after="0"/>
        <w:jc w:val="left"/>
        <w:rPr>
          <w:rFonts w:ascii="Arial" w:hAnsi="Arial"/>
          <w:sz w:val="19"/>
        </w:rPr>
      </w:pPr>
      <w:r>
        <w:rPr>
          <w:rFonts w:ascii="Arial" w:hAnsi="Arial"/>
          <w:sz w:val="19"/>
        </w:rPr>
        <w:t xml:space="preserve">Additional federal, state, and foreign healthcare reform measures may be adopted in the future, any of which could limit the amounts that federal and state governments will pay for healthcare products and services, which could result in limited coverage and reimbursement and reduced demand for pharmaceutical products or additional pricing pressures. </w:t>
      </w:r>
    </w:p>
    <w:p>
      <w:pPr>
        <w:pStyle w:val="TextBody"/>
        <w:bidi w:val="0"/>
        <w:spacing w:before="180" w:after="0"/>
        <w:jc w:val="left"/>
        <w:rPr>
          <w:rFonts w:ascii="Arial" w:hAnsi="Arial"/>
          <w:sz w:val="19"/>
        </w:rPr>
      </w:pPr>
      <w:r>
        <w:rPr>
          <w:rFonts w:ascii="Arial" w:hAnsi="Arial"/>
          <w:sz w:val="19"/>
        </w:rPr>
        <w:t xml:space="preserve">For instance, in the EU, on December 15,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180" w:after="0"/>
        <w:jc w:val="left"/>
        <w:rPr>
          <w:rFonts w:ascii="Arial" w:hAnsi="Arial"/>
          <w:sz w:val="19"/>
        </w:rPr>
      </w:pPr>
      <w:r>
        <w:rPr>
          <w:rFonts w:ascii="Arial" w:hAnsi="Arial"/>
          <w:sz w:val="19"/>
        </w:rPr>
        <w:t xml:space="preserve">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regulatory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The new framework is expected to enter into force in 2026/2027 and to be subject to transitional arrangements, with full application not anticipated before 2028.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Foreign Government Regulation </w:t>
      </w:r>
    </w:p>
    <w:p>
      <w:pPr>
        <w:pStyle w:val="TextBody"/>
        <w:bidi w:val="0"/>
        <w:spacing w:before="80" w:after="0"/>
        <w:jc w:val="left"/>
        <w:rPr>
          <w:rFonts w:ascii="Arial" w:hAnsi="Arial"/>
          <w:sz w:val="19"/>
        </w:rPr>
      </w:pPr>
      <w:r>
        <w:rPr>
          <w:rFonts w:ascii="Arial" w:hAnsi="Arial"/>
          <w:sz w:val="19"/>
        </w:rPr>
        <w:t xml:space="preserve">To market any product outside of the United States, we would need to comply with numerous and varying regulatory requirements of other countries governing, among other things, clinical trials, marketing authorization (MA), commercial sales and distribution of our products. </w:t>
      </w:r>
    </w:p>
    <w:p>
      <w:pPr>
        <w:pStyle w:val="TextBody"/>
        <w:bidi w:val="0"/>
        <w:spacing w:before="180" w:after="0"/>
        <w:jc w:val="left"/>
        <w:rPr>
          <w:rFonts w:ascii="Arial" w:hAnsi="Arial"/>
          <w:sz w:val="19"/>
        </w:rPr>
      </w:pPr>
      <w:r>
        <w:rPr>
          <w:rFonts w:ascii="Arial" w:hAnsi="Arial"/>
          <w:sz w:val="19"/>
        </w:rPr>
        <w:t xml:space="preserve">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w:t>
      </w:r>
    </w:p>
    <w:p>
      <w:pPr>
        <w:pStyle w:val="TextBody"/>
        <w:bidi w:val="0"/>
        <w:spacing w:before="80" w:after="0"/>
        <w:jc w:val="left"/>
        <w:rPr>
          <w:rFonts w:ascii="Arial" w:hAnsi="Arial"/>
          <w:i/>
          <w:sz w:val="19"/>
        </w:rPr>
      </w:pPr>
      <w:r>
        <w:rPr>
          <w:rFonts w:ascii="Arial" w:hAnsi="Arial"/>
          <w:i/>
          <w:sz w:val="19"/>
        </w:rPr>
        <w:t xml:space="preserve">Non-clinical Studies and Clinical Trials </w:t>
      </w:r>
    </w:p>
    <w:p>
      <w:pPr>
        <w:pStyle w:val="TextBody"/>
        <w:bidi w:val="0"/>
        <w:spacing w:before="40" w:after="0"/>
        <w:jc w:val="left"/>
        <w:rPr>
          <w:rFonts w:ascii="Arial" w:hAnsi="Arial"/>
          <w:sz w:val="19"/>
        </w:rPr>
      </w:pPr>
      <w:r>
        <w:rPr>
          <w:rFonts w:ascii="Arial" w:hAnsi="Arial"/>
          <w:sz w:val="19"/>
        </w:rPr>
        <w:t xml:space="preserve">Similarly to the United States, the various phases of non-clinical and clinical research in the EU are subject to significant regulatory controls. </w:t>
      </w:r>
    </w:p>
    <w:p>
      <w:pPr>
        <w:pStyle w:val="TextBody"/>
        <w:bidi w:val="0"/>
        <w:spacing w:before="180" w:after="0"/>
        <w:jc w:val="left"/>
        <w:rPr>
          <w:rFonts w:ascii="Arial" w:hAnsi="Arial"/>
          <w:sz w:val="19"/>
        </w:rPr>
      </w:pPr>
      <w:r>
        <w:rPr>
          <w:rFonts w:ascii="Arial" w:hAnsi="Arial"/>
          <w:sz w:val="19"/>
        </w:rPr>
        <w:t xml:space="preserve">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e.g., radio-pharmaceutical precursors for radio-labeling purposes). In particular, non-clinical studies, both </w:t>
      </w:r>
      <w:r>
        <w:rPr>
          <w:rFonts w:ascii="Arial" w:hAnsi="Arial"/>
          <w:i/>
          <w:sz w:val="19"/>
        </w:rPr>
        <w:t>in vitro</w:t>
      </w:r>
      <w:r>
        <w:rPr>
          <w:rFonts w:ascii="Arial" w:hAnsi="Arial"/>
          <w:sz w:val="19"/>
        </w:rPr>
        <w:t xml:space="preserve"> and </w:t>
      </w:r>
      <w:r>
        <w:rPr>
          <w:rFonts w:ascii="Arial" w:hAnsi="Arial"/>
          <w:i/>
          <w:sz w:val="19"/>
        </w:rPr>
        <w:t>in vivo</w:t>
      </w:r>
      <w:r>
        <w:rPr>
          <w:rFonts w:ascii="Arial" w:hAnsi="Arial"/>
          <w:sz w:val="19"/>
        </w:rPr>
        <w:t xml:space="preserve">,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bidi w:val="0"/>
        <w:spacing w:before="180" w:after="0"/>
        <w:jc w:val="left"/>
        <w:rPr>
          <w:rFonts w:ascii="Arial" w:hAnsi="Arial"/>
          <w:sz w:val="19"/>
        </w:rPr>
      </w:pPr>
      <w:r>
        <w:rPr>
          <w:rFonts w:ascii="Arial" w:hAnsi="Arial"/>
          <w:sz w:val="19"/>
        </w:rPr>
        <w:t xml:space="preserve">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 </w:t>
      </w:r>
    </w:p>
    <w:p>
      <w:pPr>
        <w:pStyle w:val="TextBody"/>
        <w:bidi w:val="0"/>
        <w:spacing w:before="180" w:after="0"/>
        <w:jc w:val="left"/>
        <w:rPr>
          <w:rFonts w:ascii="Arial" w:hAnsi="Arial"/>
          <w:sz w:val="19"/>
        </w:rPr>
      </w:pPr>
      <w:r>
        <w:rPr>
          <w:rFonts w:ascii="Arial" w:hAnsi="Arial"/>
          <w:sz w:val="19"/>
        </w:rPr>
        <w:t xml:space="preserve">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before="180" w:after="0"/>
        <w:jc w:val="left"/>
        <w:rPr>
          <w:rFonts w:ascii="Arial" w:hAnsi="Arial"/>
          <w:sz w:val="19"/>
        </w:rPr>
      </w:pPr>
      <w:r>
        <w:rPr>
          <w:rFonts w:ascii="Arial" w:hAnsi="Arial"/>
          <w:sz w:val="19"/>
        </w:rPr>
        <w:t xml:space="preserve">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w:t>
      </w:r>
    </w:p>
    <w:p>
      <w:pPr>
        <w:pStyle w:val="TextBody"/>
        <w:bidi w:val="0"/>
        <w:spacing w:before="180" w:after="0"/>
        <w:jc w:val="left"/>
        <w:rPr>
          <w:rFonts w:ascii="Arial" w:hAnsi="Arial"/>
          <w:sz w:val="19"/>
        </w:rPr>
      </w:pPr>
      <w:r>
        <w:rPr>
          <w:rFonts w:ascii="Arial" w:hAnsi="Arial"/>
          <w:sz w:val="19"/>
        </w:rPr>
        <w:t xml:space="preserve">The CTR transition period ended on January 31, 2025, and all clinical trials (and related applications) are now fully subject to the provisions of the CTR.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Medicines used in clinical trials must be manufactured in accordance with Good Manufacturing Practice (GMP). Other national and EU-wide regulatory requirements may also apply. </w:t>
      </w:r>
    </w:p>
    <w:p>
      <w:pPr>
        <w:pStyle w:val="TextBody"/>
        <w:bidi w:val="0"/>
        <w:spacing w:before="80" w:after="0"/>
        <w:jc w:val="left"/>
        <w:rPr>
          <w:rFonts w:ascii="Arial" w:hAnsi="Arial"/>
          <w:i/>
          <w:sz w:val="19"/>
        </w:rPr>
      </w:pPr>
      <w:r>
        <w:rPr>
          <w:rFonts w:ascii="Arial" w:hAnsi="Arial"/>
          <w:i/>
          <w:sz w:val="19"/>
        </w:rPr>
        <w:t xml:space="preserve">Marketing Authorization </w:t>
      </w:r>
    </w:p>
    <w:p>
      <w:pPr>
        <w:pStyle w:val="TextBody"/>
        <w:bidi w:val="0"/>
        <w:spacing w:before="40" w:after="0"/>
        <w:jc w:val="left"/>
        <w:rPr>
          <w:rFonts w:ascii="Arial" w:hAnsi="Arial"/>
          <w:sz w:val="19"/>
        </w:rPr>
      </w:pPr>
      <w:r>
        <w:rPr>
          <w:rFonts w:ascii="Arial" w:hAnsi="Arial"/>
          <w:sz w:val="19"/>
        </w:rPr>
        <w:t xml:space="preserve">In order to market our product candidates in the EU and many other foreign jurisdictions, we must obtain separate regulatory approvals. More concretely, in the EU, medicinal product candidates can only be commercialized after obtaining an MA. To obtain regulatory approval of a product candidate under EU regulatory systems, we must submit an MA application (MAA). The process for doing this depends, among other things, on the nature of the medicinal product. There are two types of MAs: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w:t>
            </w:r>
            <w:r>
              <w:rPr>
                <w:rFonts w:ascii="Arial" w:hAnsi="Arial"/>
                <w:sz w:val="19"/>
              </w:rPr>
              <w:t xml:space="preserve">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Arial" w:hAnsi="Arial"/>
                <w:sz w:val="19"/>
              </w:rPr>
              <w:t xml:space="preserve">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tc>
      </w:tr>
    </w:tbl>
    <w:p>
      <w:pPr>
        <w:pStyle w:val="TextBody"/>
        <w:bidi w:val="0"/>
        <w:spacing w:before="180" w:after="0"/>
        <w:jc w:val="left"/>
        <w:rPr>
          <w:rFonts w:ascii="Arial" w:hAnsi="Arial"/>
          <w:sz w:val="19"/>
        </w:rPr>
      </w:pPr>
      <w:r>
        <w:rPr>
          <w:rFonts w:ascii="Arial" w:hAnsi="Arial"/>
          <w:sz w:val="19"/>
        </w:rPr>
        <w:t xml:space="preserve">Under the centralized procedure the maximum timeframe for the evaluation of an MAA by the EMA is 210 days, excluding clock stops. In exceptional cases, the CHMP might perform an accelerated review of an MAA in no more than 150 days (not including clock stops). </w:t>
      </w:r>
    </w:p>
    <w:p>
      <w:pPr>
        <w:pStyle w:val="TextBody"/>
        <w:bidi w:val="0"/>
        <w:spacing w:before="180" w:after="0"/>
        <w:jc w:val="left"/>
        <w:rPr>
          <w:rFonts w:ascii="Arial" w:hAnsi="Arial"/>
          <w:sz w:val="19"/>
        </w:rPr>
      </w:pPr>
      <w:r>
        <w:rPr>
          <w:rFonts w:ascii="Arial" w:hAnsi="Arial"/>
          <w:sz w:val="19"/>
        </w:rPr>
        <w:t xml:space="preserve">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In July 2025, ipsoprubart was granted PRIME designation by the EMA.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on the basis of a reevaluation of the risk-benefit balance. </w:t>
      </w:r>
    </w:p>
    <w:p>
      <w:pPr>
        <w:pStyle w:val="TextBody"/>
        <w:bidi w:val="0"/>
        <w:spacing w:before="80" w:after="0"/>
        <w:jc w:val="left"/>
        <w:rPr>
          <w:rFonts w:ascii="Arial" w:hAnsi="Arial"/>
          <w:i/>
          <w:sz w:val="19"/>
        </w:rPr>
      </w:pPr>
      <w:r>
        <w:rPr>
          <w:rFonts w:ascii="Arial" w:hAnsi="Arial"/>
          <w:i/>
          <w:sz w:val="19"/>
        </w:rPr>
        <w:t xml:space="preserve">Data and Marketing Exclusivity </w:t>
      </w:r>
    </w:p>
    <w:p>
      <w:pPr>
        <w:pStyle w:val="TextBody"/>
        <w:bidi w:val="0"/>
        <w:spacing w:before="80" w:after="0"/>
        <w:jc w:val="left"/>
        <w:rPr>
          <w:rFonts w:ascii="Arial" w:hAnsi="Arial"/>
          <w:sz w:val="19"/>
        </w:rPr>
      </w:pPr>
      <w:r>
        <w:rPr>
          <w:rFonts w:ascii="Arial" w:hAnsi="Arial"/>
          <w:sz w:val="19"/>
        </w:rPr>
        <w:t xml:space="preserve">In the EU, new products authorized for marketing (i.e., reference products) generally receive eight years of data exclusivity and an additional two years of market exclusivity upon MA. If granted, the data exclusivity period prevents generic and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MA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 </w:t>
      </w:r>
    </w:p>
    <w:p>
      <w:pPr>
        <w:pStyle w:val="TextBody"/>
        <w:bidi w:val="0"/>
        <w:spacing w:before="180" w:after="0"/>
        <w:jc w:val="left"/>
        <w:rPr>
          <w:rFonts w:ascii="Arial" w:hAnsi="Arial"/>
          <w:sz w:val="19"/>
        </w:rPr>
      </w:pPr>
      <w:r>
        <w:rPr>
          <w:rFonts w:ascii="Arial" w:hAnsi="Arial"/>
          <w:sz w:val="19"/>
        </w:rPr>
        <w:t xml:space="preserve">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 </w:t>
      </w:r>
    </w:p>
    <w:p>
      <w:pPr>
        <w:pStyle w:val="TextBody"/>
        <w:bidi w:val="0"/>
        <w:spacing w:before="80" w:after="0"/>
        <w:jc w:val="left"/>
        <w:rPr>
          <w:rFonts w:ascii="Arial" w:hAnsi="Arial"/>
          <w:i/>
          <w:sz w:val="19"/>
        </w:rPr>
      </w:pPr>
      <w:r>
        <w:rPr>
          <w:rFonts w:ascii="Arial" w:hAnsi="Arial"/>
          <w:i/>
          <w:sz w:val="19"/>
        </w:rPr>
        <w:t xml:space="preserve">Orphan Medicinal Products </w:t>
      </w:r>
    </w:p>
    <w:p>
      <w:pPr>
        <w:pStyle w:val="TextBody"/>
        <w:bidi w:val="0"/>
        <w:spacing w:before="40" w:after="0"/>
        <w:jc w:val="left"/>
        <w:rPr>
          <w:rFonts w:ascii="Arial" w:hAnsi="Arial"/>
          <w:sz w:val="19"/>
        </w:rPr>
      </w:pPr>
      <w:r>
        <w:rPr>
          <w:rFonts w:ascii="Arial" w:hAnsi="Arial"/>
          <w:sz w:val="19"/>
        </w:rPr>
        <w:t xml:space="preserve">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w:t>
      </w:r>
    </w:p>
    <w:p>
      <w:pPr>
        <w:pStyle w:val="TextBody"/>
        <w:bidi w:val="0"/>
        <w:spacing w:before="180" w:after="0"/>
        <w:jc w:val="left"/>
        <w:rPr>
          <w:rFonts w:ascii="Arial" w:hAnsi="Arial"/>
          <w:sz w:val="19"/>
        </w:rPr>
      </w:pPr>
      <w:r>
        <w:rPr>
          <w:rFonts w:ascii="Arial" w:hAnsi="Arial"/>
          <w:sz w:val="19"/>
        </w:rPr>
        <w:t xml:space="preserve">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designation does not convey any advantage in, or shorten the duration of, the regulatory review and approval process. </w:t>
      </w:r>
    </w:p>
    <w:p>
      <w:pPr>
        <w:pStyle w:val="TextBody"/>
        <w:bidi w:val="0"/>
        <w:spacing w:before="180" w:after="0"/>
        <w:jc w:val="left"/>
        <w:rPr>
          <w:rFonts w:ascii="Arial" w:hAnsi="Arial"/>
          <w:sz w:val="19"/>
        </w:rPr>
      </w:pPr>
      <w:r>
        <w:rPr>
          <w:rFonts w:ascii="Arial" w:hAnsi="Arial"/>
          <w:sz w:val="19"/>
        </w:rPr>
        <w:t xml:space="preserve">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Pediatric Development </w:t>
      </w:r>
    </w:p>
    <w:p>
      <w:pPr>
        <w:pStyle w:val="TextBody"/>
        <w:bidi w:val="0"/>
        <w:spacing w:before="40" w:after="0"/>
        <w:jc w:val="left"/>
        <w:rPr>
          <w:rFonts w:ascii="Arial" w:hAnsi="Arial"/>
          <w:sz w:val="19"/>
        </w:rPr>
      </w:pPr>
      <w:r>
        <w:rPr>
          <w:rFonts w:ascii="Arial" w:hAnsi="Arial"/>
          <w:sz w:val="19"/>
        </w:rPr>
        <w:t xml:space="preserve">In the EU, MAAs for new medicinal products candidates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medicinal products, a two year extension of the orphan market exclusivity is granted. </w:t>
      </w:r>
    </w:p>
    <w:p>
      <w:pPr>
        <w:pStyle w:val="TextBody"/>
        <w:bidi w:val="0"/>
        <w:spacing w:before="180" w:after="0"/>
        <w:jc w:val="left"/>
        <w:rPr>
          <w:rFonts w:ascii="Arial" w:hAnsi="Arial"/>
          <w:sz w:val="19"/>
        </w:rPr>
      </w:pPr>
      <w:r>
        <w:rPr>
          <w:rFonts w:ascii="Arial" w:hAnsi="Arial"/>
          <w:sz w:val="19"/>
        </w:rPr>
        <w:t xml:space="preserve">The aforementioned EU rules are generally applicable in the European Economic Area (EEA) which consists of the 27 EU member states plus Norway, Liechtenstein and Iceland. </w:t>
      </w:r>
    </w:p>
    <w:p>
      <w:pPr>
        <w:pStyle w:val="TextBody"/>
        <w:bidi w:val="0"/>
        <w:spacing w:before="180" w:after="0"/>
        <w:jc w:val="left"/>
        <w:rPr>
          <w:rFonts w:ascii="Arial" w:hAnsi="Arial"/>
          <w:sz w:val="19"/>
        </w:rPr>
      </w:pPr>
      <w:r>
        <w:rPr>
          <w:rFonts w:ascii="Arial" w:hAnsi="Arial"/>
          <w:sz w:val="19"/>
        </w:rPr>
        <w:t xml:space="preserve">Failure to comply with applicable foreign regulatory requirements, including EU and member state laws,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80" w:after="0"/>
        <w:jc w:val="left"/>
        <w:rPr>
          <w:rFonts w:ascii="Arial" w:hAnsi="Arial"/>
          <w:i/>
          <w:sz w:val="19"/>
        </w:rPr>
      </w:pPr>
      <w:r>
        <w:rPr>
          <w:rFonts w:ascii="Arial" w:hAnsi="Arial"/>
          <w:i/>
          <w:sz w:val="19"/>
        </w:rPr>
        <w:t xml:space="preserve">EU Pharmaceutical Reform </w:t>
      </w:r>
    </w:p>
    <w:p>
      <w:pPr>
        <w:pStyle w:val="TextBody"/>
        <w:bidi w:val="0"/>
        <w:spacing w:before="40" w:after="0"/>
        <w:jc w:val="left"/>
        <w:rPr>
          <w:rFonts w:ascii="Arial" w:hAnsi="Arial"/>
          <w:sz w:val="19"/>
        </w:rPr>
      </w:pPr>
      <w:r>
        <w:rPr>
          <w:rFonts w:ascii="Arial" w:hAnsi="Arial"/>
          <w:sz w:val="19"/>
        </w:rPr>
        <w:t xml:space="preserve">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regulatory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The new framework is expected to enter into force in 2026/2027 and to be subject to transitional arrangements, with full application not anticipated before 2028. </w:t>
      </w:r>
    </w:p>
    <w:p>
      <w:pPr>
        <w:pStyle w:val="TextBody"/>
        <w:bidi w:val="0"/>
        <w:spacing w:before="240" w:after="0"/>
        <w:jc w:val="left"/>
        <w:rPr>
          <w:rFonts w:ascii="Arial" w:hAnsi="Arial"/>
          <w:b/>
          <w:sz w:val="20"/>
        </w:rPr>
      </w:pPr>
      <w:r>
        <w:rPr>
          <w:rFonts w:ascii="Arial" w:hAnsi="Arial"/>
          <w:b/>
          <w:sz w:val="20"/>
        </w:rPr>
        <w:t xml:space="preserve">The Foreign Corrupt Practices Act </w:t>
      </w:r>
    </w:p>
    <w:p>
      <w:pPr>
        <w:pStyle w:val="TextBody"/>
        <w:bidi w:val="0"/>
        <w:spacing w:before="80" w:after="0"/>
        <w:jc w:val="left"/>
        <w:rPr>
          <w:rFonts w:ascii="Arial" w:hAnsi="Arial"/>
          <w:sz w:val="19"/>
        </w:rPr>
      </w:pPr>
      <w:r>
        <w:rPr>
          <w:rFonts w:ascii="Arial" w:hAnsi="Arial"/>
          <w:sz w:val="19"/>
        </w:rPr>
        <w:t xml:space="preserve">The Foreign Corrupt Practices Act of 1977, as amended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U.S. authorities that enforce the FCPA, including the DOJ, deem most health care professionals and other employees of foreign hospitals, clinics, research facilities and medical schools in countries with public health care or public education systems to be “foreign officials” under the FCPA.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240" w:after="0"/>
        <w:jc w:val="left"/>
        <w:rPr>
          <w:rFonts w:ascii="Arial" w:hAnsi="Arial"/>
          <w:b/>
          <w:sz w:val="20"/>
        </w:rPr>
      </w:pPr>
      <w:r>
        <w:rPr>
          <w:rFonts w:ascii="Arial" w:hAnsi="Arial"/>
          <w:b/>
          <w:sz w:val="20"/>
        </w:rPr>
        <w:t xml:space="preserve">Data Privacy and Security </w:t>
      </w:r>
    </w:p>
    <w:p>
      <w:pPr>
        <w:pStyle w:val="TextBody"/>
        <w:bidi w:val="0"/>
        <w:spacing w:before="80" w:after="0"/>
        <w:jc w:val="left"/>
        <w:rPr>
          <w:rFonts w:ascii="Arial" w:hAnsi="Arial"/>
          <w:sz w:val="19"/>
        </w:rPr>
      </w:pPr>
      <w:r>
        <w:rPr>
          <w:rFonts w:ascii="Arial" w:hAnsi="Arial"/>
          <w:sz w:val="19"/>
        </w:rPr>
        <w:t xml:space="preserve">Numerous state, federal, and foreign laws, regulations and standards govern the collection, use, access to, confidentiality, and security of personal information and health-related data, including clinical trial data, and could apply now or in the future to our operations or the operations of our partners. In the United States, numerous federal and state laws and regulations, including data breach notification laws, health information privacy and security laws,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comprehensive data privacy laws, and consumer protection laws and regulations, govern the collection, use, disclosure, and protection of personal information, including health-related data. Further, our collection and processing of personal information from individuals in the EU and other jurisdictions outside of the United States, through clinical trials or otherwise, may render us subject to foreign laws, such as the GDPR, which govern the privacy and security of personal information, including health-related data. Our use of machine learning technology may also be subject to evolving laws and regulations, which may require us to, among other things, make specific disclosures or control unwanted bias and discrimination.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240" w:after="0"/>
        <w:jc w:val="left"/>
        <w:rPr>
          <w:rFonts w:ascii="Arial" w:hAnsi="Arial"/>
          <w:b/>
          <w:sz w:val="20"/>
        </w:rPr>
      </w:pPr>
      <w:r>
        <w:rPr>
          <w:rFonts w:ascii="Arial" w:hAnsi="Arial"/>
          <w:b/>
          <w:sz w:val="20"/>
        </w:rPr>
        <w:t xml:space="preserve">Employees and Human Capital Resources </w:t>
      </w:r>
    </w:p>
    <w:p>
      <w:pPr>
        <w:pStyle w:val="TextBody"/>
        <w:bidi w:val="0"/>
        <w:spacing w:before="80" w:after="0"/>
        <w:jc w:val="left"/>
        <w:rPr>
          <w:rFonts w:ascii="Arial" w:hAnsi="Arial"/>
          <w:sz w:val="19"/>
        </w:rPr>
      </w:pPr>
      <w:r>
        <w:rPr>
          <w:rFonts w:ascii="Arial" w:hAnsi="Arial"/>
          <w:sz w:val="19"/>
        </w:rPr>
        <w:t xml:space="preserve">As of June 30, 2026, we had 46 employees, all of whom were full-time and 33 of whom were engaged in research and development activities. Approximately 24 percent of our employees hold Ph.D., Pharm.D. or M.D. or other advanced degrees. None of our employees are represented by a labor union or covered under a collective bargaining agreement. We consider our relationship with our employees to be good. </w:t>
      </w:r>
    </w:p>
    <w:p>
      <w:pPr>
        <w:pStyle w:val="TextBody"/>
        <w:bidi w:val="0"/>
        <w:spacing w:before="180" w:after="0"/>
        <w:jc w:val="left"/>
        <w:rPr>
          <w:rFonts w:ascii="Arial" w:hAnsi="Arial"/>
          <w:sz w:val="19"/>
        </w:rPr>
      </w:pPr>
      <w:r>
        <w:rPr>
          <w:rFonts w:ascii="Arial" w:hAnsi="Arial"/>
          <w:sz w:val="19"/>
        </w:rPr>
        <w:t xml:space="preserve">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reward personnel through the granting of stock-based and cash-based compensation awards, in order to increase the success of our Company by motivating such individuals to perform to the best of their abilities and achieve our objectives. We also strive to foster career growth and internal mobility by providing a broad range of training, mentoring and other development opportunities. </w:t>
      </w:r>
    </w:p>
    <w:p>
      <w:pPr>
        <w:pStyle w:val="TextBody"/>
        <w:bidi w:val="0"/>
        <w:spacing w:before="240" w:after="0"/>
        <w:jc w:val="left"/>
        <w:rPr>
          <w:rFonts w:ascii="Arial" w:hAnsi="Arial"/>
          <w:b/>
          <w:sz w:val="20"/>
        </w:rPr>
      </w:pPr>
      <w:r>
        <w:rPr>
          <w:rFonts w:ascii="Arial" w:hAnsi="Arial"/>
          <w:b/>
          <w:sz w:val="20"/>
        </w:rPr>
        <w:t xml:space="preserve">Facilities </w:t>
      </w:r>
    </w:p>
    <w:p>
      <w:pPr>
        <w:pStyle w:val="TextBody"/>
        <w:bidi w:val="0"/>
        <w:spacing w:before="80" w:after="0"/>
        <w:jc w:val="left"/>
        <w:rPr>
          <w:rFonts w:ascii="Arial" w:hAnsi="Arial"/>
          <w:sz w:val="19"/>
        </w:rPr>
      </w:pPr>
      <w:r>
        <w:rPr>
          <w:rFonts w:ascii="Arial" w:hAnsi="Arial"/>
          <w:sz w:val="19"/>
        </w:rPr>
        <w:t xml:space="preserve">Our headquarters are located in South San Francisco, California where we lease and occupy approximately 14,055 square feet of office and laboratory space. The current term of our lease expires in September 2028. We have the option to extend the lease for an additional three years after initial expiration. We believe that our existing facilities are sufficient to meet our near-term needs and that suitable additional space will be available as and when needed. </w:t>
      </w:r>
    </w:p>
    <w:p>
      <w:pPr>
        <w:pStyle w:val="TextBody"/>
        <w:bidi w:val="0"/>
        <w:spacing w:before="240" w:after="0"/>
        <w:jc w:val="left"/>
        <w:rPr>
          <w:rFonts w:ascii="Arial" w:hAnsi="Arial"/>
          <w:b/>
          <w:sz w:val="20"/>
        </w:rPr>
      </w:pPr>
      <w:r>
        <w:rPr>
          <w:rFonts w:ascii="Arial" w:hAnsi="Arial"/>
          <w:b/>
          <w:sz w:val="20"/>
        </w:rPr>
        <w:t xml:space="preserve">Legal Proceedings </w:t>
      </w:r>
    </w:p>
    <w:p>
      <w:pPr>
        <w:pStyle w:val="TextBody"/>
        <w:bidi w:val="0"/>
        <w:spacing w:before="80" w:after="0"/>
        <w:jc w:val="left"/>
        <w:rPr>
          <w:rFonts w:ascii="Arial" w:hAnsi="Arial"/>
          <w:sz w:val="19"/>
        </w:rPr>
      </w:pPr>
      <w:r>
        <w:rPr>
          <w:rFonts w:ascii="Arial" w:hAnsi="Arial"/>
          <w:sz w:val="19"/>
        </w:rPr>
        <w:t xml:space="preserve">From time to time, we may be subject to legal proceedings. We are not currently a party to or aware of any legal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240" w:after="0"/>
        <w:jc w:val="left"/>
        <w:rPr>
          <w:rFonts w:ascii="Arial" w:hAnsi="Arial"/>
          <w:b/>
          <w:sz w:val="20"/>
        </w:rPr>
      </w:pPr>
      <w:r>
        <w:rPr>
          <w:rFonts w:ascii="Arial" w:hAnsi="Arial"/>
          <w:b/>
          <w:sz w:val="20"/>
        </w:rPr>
        <w:t xml:space="preserve">Corporate Information </w:t>
      </w:r>
    </w:p>
    <w:p>
      <w:pPr>
        <w:pStyle w:val="TextBody"/>
        <w:bidi w:val="0"/>
        <w:spacing w:before="80" w:after="0"/>
        <w:jc w:val="left"/>
        <w:rPr>
          <w:rFonts w:ascii="Arial" w:hAnsi="Arial"/>
          <w:sz w:val="19"/>
        </w:rPr>
      </w:pPr>
      <w:r>
        <w:rPr>
          <w:rFonts w:ascii="Arial" w:hAnsi="Arial"/>
          <w:sz w:val="19"/>
        </w:rPr>
        <w:t xml:space="preserve">We were originally incorporated under the laws of the State of Delaware in October 2018 as a wholly-owned subsidiary of Star Therapeutics LLC (Star), a private biotechnology company. In February 2022, in connection with our Series B Preferred Stock financing, we became a majority-owned subsidiary of Star. In June 2023, Star formed Electra Therapeutics LLC (Electra LLC) and contributed all of the equity it held in us to Electra LLC in exchange for the equity of Electra LLC, which Star subsequently distributed to its equity holders (the Spin-Out). As a result of the Spin-Out, Star is no longer our parent company and we are no longer directly affiliated with Star.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3" w:name="toc61940_11"/>
      <w:bookmarkEnd w:id="13"/>
      <w:r>
        <w:rPr>
          <w:rFonts w:ascii="Arial" w:hAnsi="Arial"/>
          <w:b/>
          <w:sz w:val="20"/>
        </w:rPr>
        <w:t xml:space="preserve">MANAGEMENT </w:t>
      </w:r>
    </w:p>
    <w:p>
      <w:pPr>
        <w:pStyle w:val="TextBody"/>
        <w:bidi w:val="0"/>
        <w:spacing w:before="360" w:after="0"/>
        <w:jc w:val="left"/>
        <w:rPr>
          <w:rFonts w:ascii="Arial" w:hAnsi="Arial"/>
          <w:sz w:val="19"/>
        </w:rPr>
      </w:pPr>
      <w:r>
        <w:rPr>
          <w:rFonts w:ascii="Arial" w:hAnsi="Arial"/>
          <w:sz w:val="19"/>
        </w:rPr>
        <w:t xml:space="preserve">The following table sets forth certain information for our executive officers and directors as of August 1,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6"/>
        <w:gridCol w:w="122"/>
        <w:gridCol w:w="466"/>
        <w:gridCol w:w="122"/>
        <w:gridCol w:w="4519"/>
      </w:tblGrid>
      <w:tr>
        <w:trPr/>
        <w:tc>
          <w:tcPr>
            <w:tcW w:w="49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19" w:type="dxa"/>
            <w:tcBorders/>
            <w:vAlign w:val="center"/>
          </w:tcPr>
          <w:p>
            <w:pPr>
              <w:pStyle w:val="TableContents"/>
              <w:bidi w:val="0"/>
              <w:spacing w:before="0" w:after="283"/>
              <w:jc w:val="left"/>
              <w:rPr>
                <w:sz w:val="4"/>
                <w:szCs w:val="4"/>
              </w:rPr>
            </w:pPr>
            <w:r>
              <w:rPr>
                <w:sz w:val="4"/>
                <w:szCs w:val="4"/>
              </w:rPr>
            </w:r>
          </w:p>
        </w:tc>
      </w:tr>
      <w:tr>
        <w:trPr/>
        <w:tc>
          <w:tcPr>
            <w:tcW w:w="4976"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NAME</w:t>
            </w:r>
          </w:p>
        </w:tc>
        <w:tc>
          <w:tcPr>
            <w:tcW w:w="122" w:type="dxa"/>
            <w:tcBorders/>
            <w:vAlign w:val="bottom"/>
          </w:tcPr>
          <w:p>
            <w:pPr>
              <w:pStyle w:val="TableContents"/>
              <w:bidi w:val="0"/>
              <w:spacing w:before="0" w:after="283"/>
              <w:jc w:val="left"/>
              <w:rPr/>
            </w:pPr>
            <w:r>
              <w:rPr/>
              <w:t>  </w:t>
            </w:r>
          </w:p>
        </w:tc>
        <w:tc>
          <w:tcPr>
            <w:tcW w:w="466"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AGE</w:t>
            </w:r>
          </w:p>
        </w:tc>
        <w:tc>
          <w:tcPr>
            <w:tcW w:w="122" w:type="dxa"/>
            <w:tcBorders/>
            <w:vAlign w:val="bottom"/>
          </w:tcPr>
          <w:p>
            <w:pPr>
              <w:pStyle w:val="TableContents"/>
              <w:bidi w:val="0"/>
              <w:spacing w:before="0" w:after="283"/>
              <w:jc w:val="left"/>
              <w:rPr/>
            </w:pPr>
            <w:r>
              <w:rPr/>
              <w:t>  </w:t>
            </w:r>
          </w:p>
        </w:tc>
        <w:tc>
          <w:tcPr>
            <w:tcW w:w="4519"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POSITION(S)</w:t>
            </w:r>
          </w:p>
        </w:tc>
      </w:tr>
      <w:tr>
        <w:trPr/>
        <w:tc>
          <w:tcPr>
            <w:tcW w:w="4976" w:type="dxa"/>
            <w:tcBorders/>
          </w:tcPr>
          <w:p>
            <w:pPr>
              <w:pStyle w:val="TableContents"/>
              <w:bidi w:val="0"/>
              <w:spacing w:before="0" w:after="283"/>
              <w:jc w:val="left"/>
              <w:rPr>
                <w:b/>
              </w:rPr>
            </w:pPr>
            <w:r>
              <w:rPr>
                <w:b/>
              </w:rPr>
              <w:t>Executive Officers</w:t>
            </w:r>
          </w:p>
        </w:tc>
        <w:tc>
          <w:tcPr>
            <w:tcW w:w="122" w:type="dxa"/>
            <w:tcBorders/>
            <w:vAlign w:val="bottom"/>
          </w:tcPr>
          <w:p>
            <w:pPr>
              <w:pStyle w:val="TableContents"/>
              <w:bidi w:val="0"/>
              <w:spacing w:before="0" w:after="283"/>
              <w:jc w:val="left"/>
              <w:rPr/>
            </w:pPr>
            <w:r>
              <w:rPr/>
              <w:t>  </w:t>
            </w:r>
          </w:p>
        </w:tc>
        <w:tc>
          <w:tcPr>
            <w:tcW w:w="46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Arial" w:hAnsi="Arial"/>
                <w:sz w:val="19"/>
              </w:rPr>
            </w:pPr>
            <w:r>
              <w:rPr>
                <w:rFonts w:ascii="Arial" w:hAnsi="Arial"/>
                <w:sz w:val="19"/>
              </w:rPr>
              <w:t>Quehuong (Kathy) Dong, Pharm.D., M.B.A.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44</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President, Chief Executive Officer, 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Chris Clark, C.F.A.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48</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Financial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Kim-Hien Dao, D.O.,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53</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Medical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Gary S. Koe,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62</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Technical Officer</w:t>
            </w:r>
          </w:p>
        </w:tc>
      </w:tr>
      <w:tr>
        <w:trPr/>
        <w:tc>
          <w:tcPr>
            <w:tcW w:w="4976" w:type="dxa"/>
            <w:tcBorders/>
          </w:tcPr>
          <w:p>
            <w:pPr>
              <w:pStyle w:val="TableContents"/>
              <w:bidi w:val="0"/>
              <w:spacing w:before="0" w:after="0"/>
              <w:jc w:val="left"/>
              <w:rPr>
                <w:rFonts w:ascii="Arial" w:hAnsi="Arial"/>
                <w:sz w:val="19"/>
              </w:rPr>
            </w:pPr>
            <w:r>
              <w:rPr>
                <w:rFonts w:ascii="Arial" w:hAnsi="Arial"/>
                <w:sz w:val="19"/>
              </w:rPr>
              <w:t>Graham Parry,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62</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Chief Scientific Officer</w:t>
            </w:r>
          </w:p>
        </w:tc>
      </w:tr>
      <w:tr>
        <w:trPr>
          <w:trHeight w:val="240" w:hRule="atLeast"/>
        </w:trPr>
        <w:tc>
          <w:tcPr>
            <w:tcW w:w="4976" w:type="dxa"/>
            <w:tcBorders/>
            <w:vAlign w:val="center"/>
          </w:tcPr>
          <w:p>
            <w:pPr>
              <w:pStyle w:val="TableContents"/>
              <w:bidi w:val="0"/>
              <w:spacing w:before="0" w:after="283"/>
              <w:jc w:val="left"/>
              <w:rPr>
                <w:sz w:val="4"/>
                <w:szCs w:val="4"/>
              </w:rPr>
            </w:pPr>
            <w:r>
              <w:rPr>
                <w:sz w:val="4"/>
                <w:szCs w:val="4"/>
              </w:rPr>
            </w:r>
          </w:p>
        </w:tc>
        <w:tc>
          <w:tcPr>
            <w:tcW w:w="588" w:type="dxa"/>
            <w:gridSpan w:val="2"/>
            <w:tcBorders/>
            <w:vAlign w:val="center"/>
          </w:tcPr>
          <w:p>
            <w:pPr>
              <w:pStyle w:val="TableContents"/>
              <w:bidi w:val="0"/>
              <w:spacing w:before="0" w:after="283"/>
              <w:jc w:val="left"/>
              <w:rPr>
                <w:sz w:val="4"/>
                <w:szCs w:val="4"/>
              </w:rPr>
            </w:pPr>
            <w:r>
              <w:rPr>
                <w:sz w:val="4"/>
                <w:szCs w:val="4"/>
              </w:rPr>
            </w:r>
          </w:p>
        </w:tc>
        <w:tc>
          <w:tcPr>
            <w:tcW w:w="4641" w:type="dxa"/>
            <w:gridSpan w:val="2"/>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283"/>
              <w:jc w:val="left"/>
              <w:rPr>
                <w:b/>
              </w:rPr>
            </w:pPr>
            <w:r>
              <w:rPr>
                <w:b/>
              </w:rPr>
              <w:t>Non-Employee Directors</w:t>
            </w:r>
          </w:p>
        </w:tc>
        <w:tc>
          <w:tcPr>
            <w:tcW w:w="122" w:type="dxa"/>
            <w:tcBorders/>
            <w:vAlign w:val="bottom"/>
          </w:tcPr>
          <w:p>
            <w:pPr>
              <w:pStyle w:val="TableContents"/>
              <w:bidi w:val="0"/>
              <w:spacing w:before="0" w:after="283"/>
              <w:jc w:val="left"/>
              <w:rPr/>
            </w:pPr>
            <w:r>
              <w:rPr/>
              <w:t>  </w:t>
            </w:r>
          </w:p>
        </w:tc>
        <w:tc>
          <w:tcPr>
            <w:tcW w:w="46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Arial" w:hAnsi="Arial"/>
                <w:sz w:val="19"/>
              </w:rPr>
            </w:pPr>
            <w:r>
              <w:rPr>
                <w:rFonts w:ascii="Arial" w:hAnsi="Arial"/>
                <w:sz w:val="19"/>
              </w:rPr>
              <w:t>Nancy Stagliano,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59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Chairperson</w:t>
            </w:r>
          </w:p>
        </w:tc>
      </w:tr>
      <w:tr>
        <w:trPr/>
        <w:tc>
          <w:tcPr>
            <w:tcW w:w="4976" w:type="dxa"/>
            <w:tcBorders/>
          </w:tcPr>
          <w:p>
            <w:pPr>
              <w:pStyle w:val="TableContents"/>
              <w:bidi w:val="0"/>
              <w:spacing w:before="0" w:after="0"/>
              <w:jc w:val="left"/>
              <w:rPr>
                <w:rFonts w:ascii="Arial" w:hAnsi="Arial"/>
                <w:sz w:val="19"/>
              </w:rPr>
            </w:pPr>
            <w:r>
              <w:rPr>
                <w:rFonts w:ascii="Arial" w:hAnsi="Arial"/>
                <w:sz w:val="19"/>
              </w:rPr>
              <w:t>Matthew Fust, M.B.A.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62</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Thomas Geninatti, Ph.D.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39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Carl L. Gordon, Ph.D., C.F.A.</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61</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r>
        <w:trPr/>
        <w:tc>
          <w:tcPr>
            <w:tcW w:w="4976" w:type="dxa"/>
            <w:tcBorders/>
          </w:tcPr>
          <w:p>
            <w:pPr>
              <w:pStyle w:val="TableContents"/>
              <w:bidi w:val="0"/>
              <w:spacing w:before="0" w:after="0"/>
              <w:jc w:val="left"/>
              <w:rPr>
                <w:rFonts w:ascii="Arial" w:hAnsi="Arial"/>
                <w:sz w:val="19"/>
              </w:rPr>
            </w:pPr>
            <w:r>
              <w:rPr>
                <w:rFonts w:ascii="Arial" w:hAnsi="Arial"/>
                <w:sz w:val="19"/>
              </w:rPr>
              <w:t>Beth Seidenberg, M.D.</w:t>
            </w:r>
          </w:p>
        </w:tc>
        <w:tc>
          <w:tcPr>
            <w:tcW w:w="122"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69</w:t>
            </w:r>
          </w:p>
        </w:tc>
        <w:tc>
          <w:tcPr>
            <w:tcW w:w="122" w:type="dxa"/>
            <w:tcBorders/>
            <w:vAlign w:val="bottom"/>
          </w:tcPr>
          <w:p>
            <w:pPr>
              <w:pStyle w:val="TableContents"/>
              <w:bidi w:val="0"/>
              <w:spacing w:before="0" w:after="283"/>
              <w:jc w:val="left"/>
              <w:rPr/>
            </w:pPr>
            <w:r>
              <w:rPr/>
              <w:t>  </w:t>
            </w:r>
          </w:p>
        </w:tc>
        <w:tc>
          <w:tcPr>
            <w:tcW w:w="4519"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(1)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(3)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Member of the nominating and corporate governance committee. </w:t>
            </w:r>
          </w:p>
        </w:tc>
      </w:tr>
    </w:tbl>
    <w:p>
      <w:pPr>
        <w:pStyle w:val="TextBody"/>
        <w:bidi w:val="0"/>
        <w:spacing w:before="240" w:after="0"/>
        <w:jc w:val="left"/>
        <w:rPr>
          <w:rFonts w:ascii="Arial" w:hAnsi="Arial"/>
          <w:b/>
          <w:sz w:val="20"/>
        </w:rPr>
      </w:pPr>
      <w:r>
        <w:rPr>
          <w:rFonts w:ascii="Arial" w:hAnsi="Arial"/>
          <w:b/>
          <w:sz w:val="20"/>
        </w:rPr>
        <w:t xml:space="preserve">Executive Officers </w:t>
      </w:r>
    </w:p>
    <w:p>
      <w:pPr>
        <w:pStyle w:val="TextBody"/>
        <w:bidi w:val="0"/>
        <w:spacing w:before="80" w:after="0"/>
        <w:jc w:val="left"/>
        <w:rPr>
          <w:rFonts w:ascii="Arial" w:hAnsi="Arial"/>
          <w:sz w:val="19"/>
        </w:rPr>
      </w:pPr>
      <w:r>
        <w:rPr>
          <w:rFonts w:ascii="Arial" w:hAnsi="Arial"/>
          <w:b/>
          <w:i/>
          <w:sz w:val="19"/>
        </w:rPr>
        <w:t>Quehuong (Kathy) Dong, Pharm.D., M.B.A.</w:t>
      </w:r>
      <w:r>
        <w:rPr>
          <w:rFonts w:ascii="Arial" w:hAnsi="Arial"/>
          <w:sz w:val="19"/>
        </w:rPr>
        <w:t xml:space="preserve">, has served as our President and Chief Executive Officer and a member of our board of directors since October 2023. She has also served as President and Chief Executive Officer and a member of the board of managers of Electra Therapeutics LLC since October 2023. From April 2019 to October 2023, Dr. Dong served as Chief Operating Officer of Star Therapeutics, Inc., a privately held biotechnology company (Star Therapeutics), where she held strategic and operational responsibilities across the company’s portfolio. Dr. Dong also served as Chief Operating Officer at Vega Therapeutics Inc., a privately held biotechnology company, from April 2019 to October 2023. Prior to Star Therapeutics, Dr. Dong served as Vice President of Commercial Development at True North Therapeutics, Inc., a privately held biotechnology company (True North). Following True North’s acquisition by Bioverativ, Inc. (which was subsequently acquired by Sanofi S.A. (Sanofi)), Dr. Dong served as Head of New Product Planning for the complement franchise at Sanofi, a publicly held pharmaceutical company. Her tenure from True North through Sanofi was March 2017 to March 2019. Earlier in her career, Dr. Dong served as Director, HCV Marketing at Gilead Sciences, Inc., a publicly held biopharmaceutical company (Gilead). Dr. Dong has also served on the board of directors of Neuron23, Inc., a privately held precision neurology and immunology therapeutics company (Neuron23), since June 2022. Dr. Dong earned her Pharm.D. and M.B.A. at the University of New Mexico and completed a postdoctoral fellowship through Rutgers University. </w:t>
      </w:r>
    </w:p>
    <w:p>
      <w:pPr>
        <w:pStyle w:val="TextBody"/>
        <w:bidi w:val="0"/>
        <w:spacing w:before="180" w:after="0"/>
        <w:jc w:val="left"/>
        <w:rPr>
          <w:rFonts w:ascii="Arial" w:hAnsi="Arial"/>
          <w:sz w:val="19"/>
        </w:rPr>
      </w:pPr>
      <w:r>
        <w:rPr>
          <w:rFonts w:ascii="Arial" w:hAnsi="Arial"/>
          <w:sz w:val="19"/>
        </w:rPr>
        <w:t xml:space="preserve">Our board of directors believes that Dr. Dong’s distinguished scientific background and experience in leadership roles in the biopharmaceutical industry, as well as the perspective and experience she brings as our President and Chief Executive Officer, qualifies her to serve on our board of directors. </w:t>
      </w:r>
    </w:p>
    <w:p>
      <w:pPr>
        <w:pStyle w:val="TextBody"/>
        <w:bidi w:val="0"/>
        <w:spacing w:before="180" w:after="0"/>
        <w:jc w:val="left"/>
        <w:rPr>
          <w:rFonts w:ascii="Arial" w:hAnsi="Arial"/>
          <w:sz w:val="19"/>
        </w:rPr>
      </w:pPr>
      <w:r>
        <w:rPr>
          <w:rFonts w:ascii="Arial" w:hAnsi="Arial"/>
          <w:b/>
          <w:i/>
          <w:sz w:val="19"/>
        </w:rPr>
        <w:t>Chris Clark, C.F.A.</w:t>
      </w:r>
      <w:r>
        <w:rPr>
          <w:rFonts w:ascii="Arial" w:hAnsi="Arial"/>
          <w:sz w:val="19"/>
        </w:rPr>
        <w:t xml:space="preserve">, has served as our Chief Financial Officer since August 2026 and as our Executive Vice President, Strategy and Finance from December 2025 to August 2026. Previously, Mr. Clark served as Portfolio Manager, Equity Analyst – HealthCare at RS Investments, a Victory Capital investment franchise, a publicly held investment management company, from May 2007 to May 2025. Mr. Clark also served as a Research Associate at TIAA-CREF, a financial services organization, from 2004 to 2007, where he focused on global pharmaceuticals. Mr. Clark earned his B.A. in economics from the University of Virginia and is a chartered financial analyst. </w:t>
      </w:r>
    </w:p>
    <w:p>
      <w:pPr>
        <w:pStyle w:val="TextBody"/>
        <w:bidi w:val="0"/>
        <w:spacing w:before="180" w:after="0"/>
        <w:jc w:val="left"/>
        <w:rPr>
          <w:rFonts w:ascii="Arial" w:hAnsi="Arial"/>
          <w:sz w:val="19"/>
        </w:rPr>
      </w:pPr>
      <w:r>
        <w:rPr>
          <w:rFonts w:ascii="Arial" w:hAnsi="Arial"/>
          <w:b/>
          <w:i/>
          <w:sz w:val="19"/>
        </w:rPr>
        <w:t>Kim-Hien Dao, D.O., Ph.D.</w:t>
      </w:r>
      <w:r>
        <w:rPr>
          <w:rFonts w:ascii="Arial" w:hAnsi="Arial"/>
          <w:sz w:val="19"/>
        </w:rPr>
        <w:t xml:space="preserve">, has served as our Chief Medical Officer since May 2024 and previously served as our Vice President, Head of Clinical Development from April 2023 to May 2024. Prior to joining us, Dr. Dao served as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Senior and Executive Medical Director of Clinical Development at Astex Pharmaceuticals, Inc., a privately held pharmaceutical company, from November 2019 to March 2023, where she worked on drug development programs for solid tumors and hematological malignancies. Dr. Dao earned her D.O. and Ph.D. in biochemistry and molecular biology from Michigan State University and trained in hematology-medical oncology at the University of California, San Diego. </w:t>
      </w:r>
    </w:p>
    <w:p>
      <w:pPr>
        <w:pStyle w:val="TextBody"/>
        <w:bidi w:val="0"/>
        <w:spacing w:before="180" w:after="0"/>
        <w:jc w:val="left"/>
        <w:rPr>
          <w:rFonts w:ascii="Arial" w:hAnsi="Arial"/>
          <w:sz w:val="19"/>
        </w:rPr>
      </w:pPr>
      <w:r>
        <w:rPr>
          <w:rFonts w:ascii="Arial" w:hAnsi="Arial"/>
          <w:b/>
          <w:i/>
          <w:sz w:val="19"/>
        </w:rPr>
        <w:t>Gary S. Koe, Ph.D.</w:t>
      </w:r>
      <w:r>
        <w:rPr>
          <w:rFonts w:ascii="Arial" w:hAnsi="Arial"/>
          <w:sz w:val="19"/>
        </w:rPr>
        <w:t xml:space="preserve">, has served as our Chief Technical Officer since May 2025. Previously, Dr. Koe served as our Senior Vice President, Head of Technical Operations from May 2024 to May 2025 and Vice President, Head of Technical Operations from November 2023 to May 2024. Dr. Koe was also Vice President, Technical Operations at Star Therapeutics from March 2022 to November 2023. Dr. Koe also served as Executive Director, Head of Operations at Star Therapeutics from November 2019 to March 2022. Prior to joining us, Dr. Koe served as Executive Director of Technical Operations at Aravive, Inc., a biotechnology company (Aravive), from 2015 to 2019. Dr. Koe earned a Ph.D. in chemical engineering from the University of California, Los Angeles, and his B.S. in chemical engineering from the University of California, Davis. </w:t>
      </w:r>
    </w:p>
    <w:p>
      <w:pPr>
        <w:pStyle w:val="TextBody"/>
        <w:bidi w:val="0"/>
        <w:spacing w:before="180" w:after="0"/>
        <w:jc w:val="left"/>
        <w:rPr>
          <w:rFonts w:ascii="Arial" w:hAnsi="Arial"/>
          <w:sz w:val="19"/>
        </w:rPr>
      </w:pPr>
      <w:r>
        <w:rPr>
          <w:rFonts w:ascii="Arial" w:hAnsi="Arial"/>
          <w:b/>
          <w:i/>
          <w:sz w:val="19"/>
        </w:rPr>
        <w:t>Graham Parry, Ph.D.</w:t>
      </w:r>
      <w:r>
        <w:rPr>
          <w:rFonts w:ascii="Arial" w:hAnsi="Arial"/>
          <w:sz w:val="19"/>
        </w:rPr>
        <w:t xml:space="preserve">, has served as our Chief Scientific Officer since December 2023. Prior to joining us, Dr. Parry served as Executive Vice President, Translational Sciences at Star Therapeutics from January 2023 to December 2023, where he worked cross-functionally across the company’s portfolio to advance treatments for multiple diseases. Prior to Star Therapeutics, Dr. Parry served as Senior Vice President, Translational Sciences at Third Harmonic Bio, Inc., a privately held clinical-stage biotechnology company, from August 2019 to December 2022. Dr. Parry earned a Ph.D. in biochemistry at the University of London and a B.Sc. in applied biology at Brunel University of London. </w:t>
      </w:r>
    </w:p>
    <w:p>
      <w:pPr>
        <w:pStyle w:val="TextBody"/>
        <w:bidi w:val="0"/>
        <w:spacing w:before="240" w:after="0"/>
        <w:jc w:val="left"/>
        <w:rPr>
          <w:rFonts w:ascii="Arial" w:hAnsi="Arial"/>
          <w:b/>
          <w:sz w:val="20"/>
        </w:rPr>
      </w:pPr>
      <w:r>
        <w:rPr>
          <w:rFonts w:ascii="Arial" w:hAnsi="Arial"/>
          <w:b/>
          <w:sz w:val="20"/>
        </w:rPr>
        <w:t xml:space="preserve">Non-Employee Directors </w:t>
      </w:r>
    </w:p>
    <w:p>
      <w:pPr>
        <w:pStyle w:val="TextBody"/>
        <w:bidi w:val="0"/>
        <w:spacing w:before="80" w:after="0"/>
        <w:jc w:val="left"/>
        <w:rPr>
          <w:rFonts w:ascii="Arial" w:hAnsi="Arial"/>
          <w:sz w:val="19"/>
        </w:rPr>
      </w:pPr>
      <w:r>
        <w:rPr>
          <w:rFonts w:ascii="Arial" w:hAnsi="Arial"/>
          <w:b/>
          <w:i/>
          <w:sz w:val="19"/>
        </w:rPr>
        <w:t>Nancy Stagliano, Ph.D.</w:t>
      </w:r>
      <w:r>
        <w:rPr>
          <w:rFonts w:ascii="Arial" w:hAnsi="Arial"/>
          <w:sz w:val="19"/>
        </w:rPr>
        <w:t xml:space="preserve">, has served as our Chairperson and member of our board of directors since March 2019. Dr. Stagliano has served as the chair of the board of directors of Neuron23 since October 2018 and as Chief Executive Officer of Neuron23 since October 2020. Dr. Stagliano has also served as the chair of the board of directors of Star Therapeutics since June 2018. In addition, Dr. Stagliano has served as executive chair of Sundance Biosciences, Inc., a privately held biotechnology company, since January 2026. Dr. Stagliano previously served as Chief Executive Officer of True North until its acquisition by Bioverativ, Inc. in 2017. Prior to that, Dr. Stagliano served as Chief Executive Officer of iPierian, Inc., a privately held biotechnology company focused on neurodegenerative disease, from 2011 until its acquisition by Bristol-Myers Squibb Company (Bristol-Myers Squibb) in 2014. She also served as Chief Executive Officer of CytomX Therapeutics, Inc., a publicly held clinical-stage biopharmaceutical company, from 2008 to 2011. Dr. Stagliano earned her Ph.D. in neuroscience from the University of Miami School of Medicine and completed a postdoctoral fellowship at Harvard Medical School. She earned her M.S. in biomedical engineering and a B.S. in electrical engineering from Drexel University. </w:t>
      </w:r>
    </w:p>
    <w:p>
      <w:pPr>
        <w:pStyle w:val="TextBody"/>
        <w:bidi w:val="0"/>
        <w:spacing w:before="180" w:after="0"/>
        <w:jc w:val="left"/>
        <w:rPr>
          <w:rFonts w:ascii="Arial" w:hAnsi="Arial"/>
          <w:sz w:val="19"/>
        </w:rPr>
      </w:pPr>
      <w:r>
        <w:rPr>
          <w:rFonts w:ascii="Arial" w:hAnsi="Arial"/>
          <w:sz w:val="19"/>
        </w:rPr>
        <w:t xml:space="preserve">Our board of directors believes that Dr. Stagliano’s extensive leadership experience in the biotechnology field, her expertise in drug development, and her broad knowledge of the biopharmaceutical industry qualify her to serve on our board of directors. </w:t>
      </w:r>
    </w:p>
    <w:p>
      <w:pPr>
        <w:pStyle w:val="TextBody"/>
        <w:bidi w:val="0"/>
        <w:spacing w:before="180" w:after="0"/>
        <w:jc w:val="left"/>
        <w:rPr>
          <w:rFonts w:ascii="Arial" w:hAnsi="Arial"/>
          <w:sz w:val="19"/>
        </w:rPr>
      </w:pPr>
      <w:r>
        <w:rPr>
          <w:rFonts w:ascii="Arial" w:hAnsi="Arial"/>
          <w:b/>
          <w:i/>
          <w:sz w:val="19"/>
        </w:rPr>
        <w:t>Matthew Fust, M.B.A.</w:t>
      </w:r>
      <w:r>
        <w:rPr>
          <w:rFonts w:ascii="Arial" w:hAnsi="Arial"/>
          <w:sz w:val="19"/>
        </w:rPr>
        <w:t xml:space="preserve">, has served as a member of our board of directors since November 2023. Mr. Fust has served on the board of directors of Atara Biotherapeutics, Inc. since March 2014, Crinetics Pharmaceuticals, Inc. since March 2018, Ultragenyx Pharmaceutical, Inc. since January 2014, and Neumora Therapeutics, Inc. since December 2020, each of which are publicly held biotechnology companies. Mr. Fust was previously Executive Vice President and Chief Financial Officer of Onyx Pharmaceuticals, Inc., a publicly held biopharmaceutical company, from January 2009 through its acquisition by Amgen Inc. (Amgen) in October 2013. Mr. Fust continued as an employee of Amgen until January 2014. From May 2003 to December 2008, Mr. Fust served as Chief Financial Officer at Jazz Pharmaceuticals, Inc., a publicly held specialty pharmaceutical company. Mr. Fust earned his M.B.A. from the Stanford Graduate School of Business and his B.A. in Accounting from the University of Minnesota Duluth. </w:t>
      </w:r>
    </w:p>
    <w:p>
      <w:pPr>
        <w:pStyle w:val="TextBody"/>
        <w:bidi w:val="0"/>
        <w:spacing w:before="180" w:after="0"/>
        <w:jc w:val="left"/>
        <w:rPr>
          <w:rFonts w:ascii="Arial" w:hAnsi="Arial"/>
          <w:sz w:val="19"/>
        </w:rPr>
      </w:pPr>
      <w:r>
        <w:rPr>
          <w:rFonts w:ascii="Arial" w:hAnsi="Arial"/>
          <w:sz w:val="19"/>
        </w:rPr>
        <w:t xml:space="preserve">Our board of directors believes that Mr. Fust’s extensive experience as a chief financial officer in the life sciences industry, his leadership and management experience, and his service as a director of other biopharmaceutical companies qualify him to serve on our board of directors.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b/>
          <w:i/>
          <w:sz w:val="19"/>
        </w:rPr>
        <w:t>Thomas Geninatti, Ph.D.</w:t>
      </w:r>
      <w:r>
        <w:rPr>
          <w:rFonts w:ascii="Arial" w:hAnsi="Arial"/>
          <w:sz w:val="19"/>
        </w:rPr>
        <w:t xml:space="preserve">, has served as a member of our board of directors since October 2025. Dr. Geninatti has served as a Principal of Nextech Invest AG, a biotechnology investment firm (Nextech Invest), since October 2025 and as a Senior Associate from September 2024 to October 2025. Dr. Geninatti has served as a member of the board of directors of Hexagon Bio, Inc., a privately held biotechnology company, since January 2025. Prior to Nextech Invest, he served in numerous roles of increasing responsibility at Gilead from December 2019 to September 2024, most recently serving as Senior Director of Corporate Development. Dr. Geninatti took a brief hiatus from Gilead from May 2022 to September 2022 to serve as Senior Director, Business Development &amp; Licensing, Oncology at Bayer AG. Prior to joining Gilead in December 2019, Dr. Geninatti served as a senior associate project manager and consultant for Deallus Consulting Limited, a global life science consulting firm. Dr. Geninatti earned a Ph.D. in bioengineering from a joint program between the University of the Chinese Academy of Sciences and the Houston Methodist Research Institute, as well as B.S. and M.S. degrees in Biomedical Engineering from Politecnico di Torino, Italy. </w:t>
      </w:r>
    </w:p>
    <w:p>
      <w:pPr>
        <w:pStyle w:val="TextBody"/>
        <w:bidi w:val="0"/>
        <w:spacing w:before="180" w:after="0"/>
        <w:jc w:val="left"/>
        <w:rPr>
          <w:rFonts w:ascii="Arial" w:hAnsi="Arial"/>
          <w:sz w:val="19"/>
        </w:rPr>
      </w:pPr>
      <w:r>
        <w:rPr>
          <w:rFonts w:ascii="Arial" w:hAnsi="Arial"/>
          <w:sz w:val="19"/>
        </w:rPr>
        <w:t xml:space="preserve">Our board of directors believes that Dr. Geninatti’s experience in venture capital and the life science industry qualifies him to serve on our board of directors. </w:t>
      </w:r>
    </w:p>
    <w:p>
      <w:pPr>
        <w:pStyle w:val="TextBody"/>
        <w:bidi w:val="0"/>
        <w:spacing w:before="180" w:after="0"/>
        <w:jc w:val="left"/>
        <w:rPr>
          <w:rFonts w:ascii="Arial" w:hAnsi="Arial"/>
          <w:sz w:val="19"/>
        </w:rPr>
      </w:pPr>
      <w:r>
        <w:rPr>
          <w:rFonts w:ascii="Arial" w:hAnsi="Arial"/>
          <w:b/>
          <w:i/>
          <w:sz w:val="19"/>
        </w:rPr>
        <w:t>Carl L. Gordon, Ph.D., C.F.A.</w:t>
      </w:r>
      <w:r>
        <w:rPr>
          <w:rFonts w:ascii="Arial" w:hAnsi="Arial"/>
          <w:sz w:val="19"/>
        </w:rPr>
        <w:t xml:space="preserve">, has served as a member of our board of directors since March 2019. Dr. Gordon is a Managing Partner at OrbiMed Advisors LLC, an investment firm, where he has served since January 1998. Dr. Gordon has served on the board of directors of Compass Therapeutics Inc., a publicly held biopharmaceutical company, since September 2015, BlossomHill Therapeutics, Inc., a publicly held biopharamaceutical company, since February 2021, Scribe Therapeutics Inc., a publicly held biopharmaceutical company, since March 2021, Lomond Therapeutics Holdings, Inc., a privately held biotechnology company, since August 2024, and currently serves on the boards of directors of several other privately held companies. Dr. Gordon previously served on the boards of directors of several publicly held companies, including Adicet Bio, Inc. from August 2015 to April 2025, ArriVent Biopharma, Inc. from December 2022 to June 2025, Gemini Therapeutics, Inc. (which merged with Disc Medicine, Inc.) from April 2016 until December 2022, Keros Therapeutics, Inc. from March 2020 to March 2026, Kinnate Biopharma Inc. from December 2019 to April 2024, MBX Biosciences, Inc. from July 2020 to June 2025, ORIC Pharmaceuticals, Inc. from November 2015 to November 2021, Terns Pharmaceuticals, Inc. from October 2018 to February 2025, and Theseus Pharmaceuticals, Inc. from June 2018 to February 2024. Dr. Gordon earned a B.A. in chemistry from Harvard College, a Ph.D. in molecular biology from the Massachusetts Institute of Technology and was a Fellow at The Rockefeller University. </w:t>
      </w:r>
    </w:p>
    <w:p>
      <w:pPr>
        <w:pStyle w:val="TextBody"/>
        <w:bidi w:val="0"/>
        <w:spacing w:before="180" w:after="0"/>
        <w:jc w:val="left"/>
        <w:rPr>
          <w:rFonts w:ascii="Arial" w:hAnsi="Arial"/>
          <w:sz w:val="19"/>
        </w:rPr>
      </w:pPr>
      <w:r>
        <w:rPr>
          <w:rFonts w:ascii="Arial" w:hAnsi="Arial"/>
          <w:sz w:val="19"/>
        </w:rPr>
        <w:t xml:space="preserve">Our board of directors believes that Dr. Gordon’s scientific expertise, extensive business experience, and experience in venture capital and the life science industry, including as a board member of various biotechnology and pharmaceutical companies, qualify him to serve on our board of directors. </w:t>
      </w:r>
    </w:p>
    <w:p>
      <w:pPr>
        <w:pStyle w:val="TextBody"/>
        <w:bidi w:val="0"/>
        <w:spacing w:before="180" w:after="0"/>
        <w:jc w:val="left"/>
        <w:rPr>
          <w:rFonts w:ascii="Arial" w:hAnsi="Arial"/>
          <w:sz w:val="19"/>
        </w:rPr>
      </w:pPr>
      <w:r>
        <w:rPr>
          <w:rFonts w:ascii="Arial" w:hAnsi="Arial"/>
          <w:b/>
          <w:i/>
          <w:sz w:val="19"/>
        </w:rPr>
        <w:t>Beth Seidenberg, M.D.</w:t>
      </w:r>
      <w:r>
        <w:rPr>
          <w:rFonts w:ascii="Arial" w:hAnsi="Arial"/>
          <w:sz w:val="19"/>
        </w:rPr>
        <w:t xml:space="preserve">, has served as a member of our board of directors since March 2019. Dr. Seidenberg is the founding Managing Director of Westlake BioPartners, a life sciences venture capital firm, formed September 2018. Dr. Seidenberg is also a general partner at Kleiner Perkins Caufield and Byers, LLC, a venture capital firm, where she has primarily focused on life sciences investing since May 2005. From February 2002 to December 2004, Dr. Seidenberg served as the Senior Vice President, Head of Global Development and Chief Medical Officer at Amgen, a publicly held biotechnology company. Prior to that, Dr. Seidenberg was a senior executive in research and development at Bristol-Myers Squibb, a publicly held biopharmaceutical company, and at Merck &amp; Co., Inc., a publicly held biopharmaceutical company. Dr. Seidenberg has served on the board of directors of Latigo Biotherapeutics, Inc., a publicly held biopharmaceutical company, since July 2024, Vera Therapeutics, Inc., a publicly held biotechnology company, since June 2016, Kyverna Therapeutics, Inc., a publicly held biopharmaceutical company, since September 2018, Sagimet Biosciences Inc., a publicly held biotechnology company, since April 2007, and several other privately held life sciences companies. Dr. Seidenberg previously served on the board of directors of Acelyrin, Inc., a publicly held biopharmaceutical company, from October 2020 to May 2025, Atara Biotherapeutics, Inc., a publicly held biopharmaceutical company, from August 2012 to June 2023, and Progyny, Inc., a publicly held fertility benefit management company, from May 2010 to November 2024. Dr. Seidenberg earned her B.A. in Biology and Anthropology from Barnard College and her M.D. from the University of Miami School of Medicine and completed her post-graduate training at The Johns Hopkins University, George Washington University, and the National Institutes of Health.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board of directors believes that Dr. Seidenberg’s extensive experience as a life sciences investor, her significant senior industry leadership experience in clinical and drug development, and her broad service on the boards of biotechnology companies qualify her to serve on our board of directors. </w:t>
      </w:r>
    </w:p>
    <w:p>
      <w:pPr>
        <w:pStyle w:val="TextBody"/>
        <w:bidi w:val="0"/>
        <w:spacing w:before="240" w:after="0"/>
        <w:jc w:val="left"/>
        <w:rPr>
          <w:rFonts w:ascii="Arial" w:hAnsi="Arial"/>
          <w:b/>
          <w:sz w:val="20"/>
        </w:rPr>
      </w:pPr>
      <w:r>
        <w:rPr>
          <w:rFonts w:ascii="Arial" w:hAnsi="Arial"/>
          <w:b/>
          <w:sz w:val="20"/>
        </w:rPr>
        <w:t xml:space="preserve">Family Relationships and Other Arrangements </w:t>
      </w:r>
    </w:p>
    <w:p>
      <w:pPr>
        <w:pStyle w:val="TextBody"/>
        <w:bidi w:val="0"/>
        <w:spacing w:before="80" w:after="0"/>
        <w:jc w:val="left"/>
        <w:rPr>
          <w:rFonts w:ascii="Arial" w:hAnsi="Arial"/>
          <w:sz w:val="19"/>
        </w:rPr>
      </w:pPr>
      <w:r>
        <w:rPr>
          <w:rFonts w:ascii="Arial" w:hAnsi="Arial"/>
          <w:sz w:val="19"/>
        </w:rPr>
        <w:t xml:space="preserve">There are no family relationships among the directors and executive officers. Pursuant to our amended and restated voting agreement, which will terminate upon the closing of this offering, the following directors were designated as members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Dr. Dong, designated pursuant to her service as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Dr. Geninatti, designated by Nextech VIII SCSp (Nextech);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Dr. Seidenberg, designated by Westlake BioPartners Fund II, L.P. (Westlake);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Dr. Gordon, designated by OrbiMed Private Investments VII, LP (OPI VII);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Mr. Fust, designated by unanimous approval of the other members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Dr. Stagliano, designated by unanimous approval of the other members of our board of directors. </w:t>
            </w:r>
          </w:p>
        </w:tc>
      </w:tr>
    </w:tbl>
    <w:p>
      <w:pPr>
        <w:pStyle w:val="TextBody"/>
        <w:bidi w:val="0"/>
        <w:spacing w:before="240" w:after="0"/>
        <w:jc w:val="left"/>
        <w:rPr>
          <w:rFonts w:ascii="Arial" w:hAnsi="Arial"/>
          <w:b/>
          <w:sz w:val="20"/>
        </w:rPr>
      </w:pPr>
      <w:r>
        <w:rPr>
          <w:rFonts w:ascii="Arial" w:hAnsi="Arial"/>
          <w:b/>
          <w:sz w:val="20"/>
        </w:rPr>
        <w:t xml:space="preserve">Composition of our Board of Directors </w:t>
      </w:r>
    </w:p>
    <w:p>
      <w:pPr>
        <w:pStyle w:val="TextBody"/>
        <w:bidi w:val="0"/>
        <w:spacing w:before="80" w:after="0"/>
        <w:jc w:val="left"/>
        <w:rPr>
          <w:rFonts w:ascii="Arial" w:hAnsi="Arial"/>
          <w:sz w:val="19"/>
        </w:rPr>
      </w:pPr>
      <w:r>
        <w:rPr>
          <w:rFonts w:ascii="Arial" w:hAnsi="Arial"/>
          <w:sz w:val="19"/>
        </w:rPr>
        <w:t xml:space="preserve">Our business and affairs are organized under the direction of our board of directors, which currently consists of six members. The primary responsibilities of our board of directors are to provide oversight, strategic guidance, counseling, and direction to our management. Our board of directors meets on a regular basis and on an ad hoc basis as required. In accordance with the terms of our amended and restated certificate of incorporation and amended and restated bylaws, which will become effective upon the closing of this offering, we will divide our board of directors into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 which will consist of     and    , whose terms will expire at our first annual meeting of stockholders to be held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II, which will consist of    and    , whose terms will expire at our second annual meeting of stockholders to be held following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Class III, which will consist of    and    , whose terms will expire at our third annual meeting of stockholders to be held following this offering. </w:t>
            </w:r>
          </w:p>
        </w:tc>
      </w:tr>
    </w:tbl>
    <w:p>
      <w:pPr>
        <w:pStyle w:val="TextBody"/>
        <w:bidi w:val="0"/>
        <w:spacing w:before="180" w:after="0"/>
        <w:jc w:val="left"/>
        <w:rPr>
          <w:rFonts w:ascii="Arial" w:hAnsi="Arial"/>
          <w:sz w:val="19"/>
        </w:rPr>
      </w:pPr>
      <w:r>
        <w:rPr>
          <w:rFonts w:ascii="Arial" w:hAnsi="Arial"/>
          <w:sz w:val="19"/>
        </w:rPr>
        <w:t xml:space="preserve">At each annual meeting of stockholders to be held after the initial classification, the successors to directors whose terms then expire will serve until the third annual meeting following their election and until their successors are duly elected and qualified. The authorized size of our board of directors is currently seven members. The authorized number of directors may be changed only by resolution of our board of directors. Any additional directorships resulting from an increase in the number of directors will be distributed among three classes so that, as nearly as possible, each class will consist of one-third of the directors. This classification of our board of directors may have the effect of delaying or preventing changes in our control or management. </w:t>
      </w:r>
    </w:p>
    <w:p>
      <w:pPr>
        <w:pStyle w:val="TextBody"/>
        <w:bidi w:val="0"/>
        <w:spacing w:before="180" w:after="0"/>
        <w:jc w:val="left"/>
        <w:rPr>
          <w:rFonts w:ascii="Arial" w:hAnsi="Arial"/>
          <w:sz w:val="19"/>
        </w:rPr>
      </w:pPr>
      <w:r>
        <w:rPr>
          <w:rFonts w:ascii="Arial" w:hAnsi="Arial"/>
          <w:sz w:val="19"/>
        </w:rPr>
        <w:t xml:space="preserve">Subject to the rights of any series of preferred stock to elect directors, our directors may only be removed for cause, which removal may be effected by the affirmative vote of the holders of at least 66-2/3% of our voting stock. </w:t>
      </w:r>
    </w:p>
    <w:p>
      <w:pPr>
        <w:pStyle w:val="TextBody"/>
        <w:bidi w:val="0"/>
        <w:spacing w:before="240" w:after="0"/>
        <w:jc w:val="left"/>
        <w:rPr>
          <w:rFonts w:ascii="Arial" w:hAnsi="Arial"/>
          <w:b/>
          <w:sz w:val="20"/>
        </w:rPr>
      </w:pPr>
      <w:r>
        <w:rPr>
          <w:rFonts w:ascii="Arial" w:hAnsi="Arial"/>
          <w:b/>
          <w:sz w:val="20"/>
        </w:rPr>
        <w:t xml:space="preserve">Board Leadership Structure </w:t>
      </w:r>
    </w:p>
    <w:p>
      <w:pPr>
        <w:pStyle w:val="TextBody"/>
        <w:bidi w:val="0"/>
        <w:spacing w:before="80" w:after="0"/>
        <w:jc w:val="left"/>
        <w:rPr>
          <w:rFonts w:ascii="Arial" w:hAnsi="Arial"/>
          <w:sz w:val="19"/>
        </w:rPr>
      </w:pPr>
      <w:r>
        <w:rPr>
          <w:rFonts w:ascii="Arial" w:hAnsi="Arial"/>
          <w:sz w:val="19"/>
        </w:rPr>
        <w:t xml:space="preserve">Our board of directors is currently chaired by Dr. Stagliano, who has authority, among other things, to call and preside over board of directors meetings, to set meeting agendas and to determine materials to be distributed to the board of directors. Accordingly, the Chairperson has substantial ability to shape the work of the board of directors. In addition, we have a separate chair for each committee of our board of directors. The chair of each committee is expected to report annually to our board of directors on the activities of their committee in fulfilling their responsibilities as detailed in their respective charters or specify any shortcomings should that be the case. We believe that the separation of responsibilities as among our President and Chief Executive Officer, Chairperson, and our committee chairs provides a balanced approach to managing the board of directors and overseeing our company. Our board of directors has concluded that our current leadership structure is appropriate at this time. However,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board of directors will continue to periodically review our leadership structure and may make such changes in the future as it deems appropriate. </w:t>
      </w:r>
    </w:p>
    <w:p>
      <w:pPr>
        <w:pStyle w:val="TextBody"/>
        <w:bidi w:val="0"/>
        <w:spacing w:before="240" w:after="0"/>
        <w:jc w:val="left"/>
        <w:rPr>
          <w:rFonts w:ascii="Arial" w:hAnsi="Arial"/>
          <w:b/>
          <w:sz w:val="20"/>
        </w:rPr>
      </w:pPr>
      <w:r>
        <w:rPr>
          <w:rFonts w:ascii="Arial" w:hAnsi="Arial"/>
          <w:b/>
          <w:sz w:val="20"/>
        </w:rPr>
        <w:t xml:space="preserve">Role of the Board in Risk Oversight </w:t>
      </w:r>
    </w:p>
    <w:p>
      <w:pPr>
        <w:pStyle w:val="TextBody"/>
        <w:bidi w:val="0"/>
        <w:spacing w:before="80" w:after="0"/>
        <w:jc w:val="left"/>
        <w:rPr>
          <w:rFonts w:ascii="Arial" w:hAnsi="Arial"/>
          <w:sz w:val="19"/>
        </w:rPr>
      </w:pPr>
      <w:r>
        <w:rPr>
          <w:rFonts w:ascii="Arial" w:hAnsi="Arial"/>
          <w:sz w:val="19"/>
        </w:rPr>
        <w:t xml:space="preserve">The audit committee of our board of directors is primarily responsible for overseeing our risk management processes on behalf of our board of directors. Going forward, we expect that the audit committee will receive reports from management periodically regarding our assessment of risks. In addition, the audit committee reports regularly to our board of directors, which also considers our risk profile. The audit committee and our board of directors focus on the most significant risks we face and our general risk management strategies. </w:t>
      </w:r>
    </w:p>
    <w:p>
      <w:pPr>
        <w:pStyle w:val="TextBody"/>
        <w:bidi w:val="0"/>
        <w:spacing w:before="180" w:after="0"/>
        <w:jc w:val="left"/>
        <w:rPr>
          <w:rFonts w:ascii="Arial" w:hAnsi="Arial"/>
          <w:sz w:val="19"/>
        </w:rPr>
      </w:pPr>
      <w:r>
        <w:rPr>
          <w:rFonts w:ascii="Arial" w:hAnsi="Arial"/>
          <w:sz w:val="19"/>
        </w:rPr>
        <w:t xml:space="preserve">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 </w:t>
      </w:r>
    </w:p>
    <w:p>
      <w:pPr>
        <w:pStyle w:val="TextBody"/>
        <w:bidi w:val="0"/>
        <w:spacing w:before="240" w:after="0"/>
        <w:jc w:val="left"/>
        <w:rPr>
          <w:rFonts w:ascii="Arial" w:hAnsi="Arial"/>
          <w:b/>
          <w:sz w:val="20"/>
        </w:rPr>
      </w:pPr>
      <w:r>
        <w:rPr>
          <w:rFonts w:ascii="Arial" w:hAnsi="Arial"/>
          <w:b/>
          <w:sz w:val="20"/>
        </w:rPr>
        <w:t xml:space="preserve">Committees of our Board of Directors </w:t>
      </w:r>
    </w:p>
    <w:p>
      <w:pPr>
        <w:pStyle w:val="TextBody"/>
        <w:bidi w:val="0"/>
        <w:spacing w:before="80" w:after="0"/>
        <w:jc w:val="left"/>
        <w:rPr>
          <w:rFonts w:ascii="Arial" w:hAnsi="Arial"/>
          <w:sz w:val="19"/>
        </w:rPr>
      </w:pPr>
      <w:r>
        <w:rPr>
          <w:rFonts w:ascii="Arial" w:hAnsi="Arial"/>
          <w:sz w:val="19"/>
        </w:rPr>
        <w:t xml:space="preserve">Our board of directors has established or will establish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Our board of directors may establish other committees as it deems necessary or appropriate from time to time. Each committee has adopted or will adopt a written charter that satisfies the applicable rules and regulations of the Sarbanes-Oxley Act, the SEC, and the listing standards of the Nasdaq Stock Market LLC (Nasdaq), which we will post on our website, </w:t>
      </w:r>
      <w:r>
        <w:rPr>
          <w:rFonts w:ascii="Arial" w:hAnsi="Arial"/>
          <w:i/>
          <w:sz w:val="19"/>
        </w:rPr>
        <w:t>www.electra-therapeutics.com</w:t>
      </w:r>
      <w:r>
        <w:rPr>
          <w:rFonts w:ascii="Arial" w:hAnsi="Arial"/>
          <w:sz w:val="19"/>
        </w:rPr>
        <w:t xml:space="preserve">, upon the closing of this offering.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80" w:after="0"/>
        <w:jc w:val="left"/>
        <w:rPr>
          <w:rFonts w:ascii="Arial" w:hAnsi="Arial"/>
          <w:b/>
          <w:i/>
          <w:sz w:val="19"/>
        </w:rPr>
      </w:pPr>
      <w:r>
        <w:rPr>
          <w:rFonts w:ascii="Arial" w:hAnsi="Arial"/>
          <w:b/>
          <w:i/>
          <w:sz w:val="19"/>
        </w:rPr>
        <w:t xml:space="preserve">Audit Committee </w:t>
      </w:r>
    </w:p>
    <w:p>
      <w:pPr>
        <w:pStyle w:val="TextBody"/>
        <w:bidi w:val="0"/>
        <w:spacing w:before="40" w:after="0"/>
        <w:jc w:val="left"/>
        <w:rPr>
          <w:rFonts w:ascii="Arial" w:hAnsi="Arial"/>
          <w:sz w:val="19"/>
        </w:rPr>
      </w:pPr>
      <w:r>
        <w:rPr>
          <w:rFonts w:ascii="Arial" w:hAnsi="Arial"/>
          <w:sz w:val="19"/>
        </w:rPr>
        <w:t xml:space="preserve">Our audit committee consists of     ,    , and    .      serves as the chair of our audit committee. Our board of directors has determined that each of the members of our audit committee satisfies Nasdaq and SEC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evaluating the performance, qualifications, and independence of our independent auditor and determining whether to retain our existing independent auditor or engage a new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determining and approving the engagement of our independent auditor to perform audit services and any permissible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monitoring the rotation of partners of our independent auditor on our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prior to engagement of any independent auditor, and at least annually thereafter, reviewing relationships that may reasonably be thought to bear on their independence, and assessing and otherwise taking the appropriate action to oversee the independence of our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reviewing our annual and quarterly financial statements and reports, including the disclosures contained under the caption “Management’s Discussion and Analysis of Financial Condition and Results of Operations,” and discussing the statements and reports with our independent auditor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our independent auditor and management, major issues that arise regarding accounting principles and financial statement presentation, including any significant changes in selection or application of accounting principles, significant regulatory or accounting initiatives or developments, as well as off-balance sheet structures, that may have a material impact on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our management, the scope, adequacy, and effectiveness of our internal control over financial reporting;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with management and our independent auditor any earnings announcements and other public announcements regarding material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procedures for the receipt, retention, and treatment of complaints received by us regarding accounting, internal accounting controls, or auditing matters, as well as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preparing the audit committee report required by the rules of the SEC to be included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approving, or ratifying and providing oversight of any related-person transactions in accordance with our related-person transaction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monitoring compliance with programs and policies designed to ensure adherence to applicable laws and our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assessing our risk management, risk assessment, and major risk exposures with respect to financial, accounting, operational, tax, privacy and cybersecurity, and information technology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on a periodic basis our investment policy and related-person transactions policy;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evaluating, at least on an annual basis, the performance of the audit committee and the adequacy of the audit committee charter. </w:t>
            </w:r>
          </w:p>
        </w:tc>
      </w:tr>
    </w:tbl>
    <w:p>
      <w:pPr>
        <w:pStyle w:val="TextBody"/>
        <w:bidi w:val="0"/>
        <w:spacing w:before="180" w:after="0"/>
        <w:jc w:val="left"/>
        <w:rPr>
          <w:rFonts w:ascii="Arial" w:hAnsi="Arial"/>
          <w:sz w:val="19"/>
        </w:rPr>
      </w:pPr>
      <w:r>
        <w:rPr>
          <w:rFonts w:ascii="Arial" w:hAnsi="Arial"/>
          <w:sz w:val="19"/>
        </w:rPr>
        <w:t xml:space="preserve">Our board of directors has determined that     qualifies as an “audit committee financial expert” within the meaning of SEC regulations and meets the financial sophistication requirements of the Nasdaq Listing Standards. In making this determination, our board has considered prior experience, business acumen, and independence. Both our independent registered public accounting firm and management periodically meet privately with our audit committee. </w:t>
      </w:r>
    </w:p>
    <w:p>
      <w:pPr>
        <w:pStyle w:val="TextBody"/>
        <w:bidi w:val="0"/>
        <w:spacing w:before="180" w:after="0"/>
        <w:jc w:val="left"/>
        <w:rPr>
          <w:rFonts w:ascii="Arial" w:hAnsi="Arial"/>
          <w:sz w:val="19"/>
        </w:rPr>
      </w:pPr>
      <w:r>
        <w:rPr>
          <w:rFonts w:ascii="Arial" w:hAnsi="Arial"/>
          <w:sz w:val="19"/>
        </w:rPr>
        <w:t xml:space="preserve">We believe that the composition and functioning of our audit committee complies with all applicable requirements of the Sarbanes-Oxley Act and all applicable SEC rules and regulations. We intend to comply with future requirements to the extent they become applicable to us. </w:t>
      </w:r>
    </w:p>
    <w:p>
      <w:pPr>
        <w:pStyle w:val="TextBody"/>
        <w:bidi w:val="0"/>
        <w:spacing w:before="80" w:after="0"/>
        <w:jc w:val="left"/>
        <w:rPr>
          <w:rFonts w:ascii="Arial" w:hAnsi="Arial"/>
          <w:b/>
          <w:i/>
          <w:sz w:val="19"/>
        </w:rPr>
      </w:pPr>
      <w:r>
        <w:rPr>
          <w:rFonts w:ascii="Arial" w:hAnsi="Arial"/>
          <w:b/>
          <w:i/>
          <w:sz w:val="19"/>
        </w:rPr>
        <w:t xml:space="preserve">Compensation Committee </w:t>
      </w:r>
    </w:p>
    <w:p>
      <w:pPr>
        <w:pStyle w:val="TextBody"/>
        <w:bidi w:val="0"/>
        <w:spacing w:before="40" w:after="0"/>
        <w:jc w:val="left"/>
        <w:rPr>
          <w:rFonts w:ascii="Arial" w:hAnsi="Arial"/>
          <w:sz w:val="19"/>
        </w:rPr>
      </w:pPr>
      <w:r>
        <w:rPr>
          <w:rFonts w:ascii="Arial" w:hAnsi="Arial"/>
          <w:sz w:val="19"/>
        </w:rPr>
        <w:t xml:space="preserve">Our compensation committee consists of     ,     , and     .      serves as the chair of our compensation committee. Our board of directors has determined that each of the members of our compensation committee is a non-employee director, as defined in Rule 16b-3 promulgated under the Securities Exchange Act of 1934, as amended (Exchange Act), and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overseeing our overall compensation practices and objectives, and assessing whether our compensation practices establish appropriate incentives in light of our specific business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in the case of our Chief Executive Officer’s compensation, making recommendations to the full board of directors regarding the compensation and other terms of employment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corporate goals and objectives relevant to the compensation of our executive officers and assessing their performance against these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the establishment or modification of our equity-based compensation plans and any other of our incentive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evaluating risks associated with our compensation policies and practices and assessing whether risks arising from our compensation policies and practices for our employees are reasonably likely to have a material adverse effect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reviewing and discussing with management our policies and practices related to our management of human capital resources and corporate culture;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modifying and overseeing the compensation clawback or similar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making recommendations to the full board of directors regarding the form and amount of director compensation;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providing recommendations to the full board of directors on compensation-related proposals to be considered at our annual meeting of stockholders, including any applicable advisory votes on executive compensation and the frequency of such votes, incentive and other compensation plans, and amendments to such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the independence of compensation consultants, legal counsel, and other advisors as required by Section 10C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administering our incentive and equity-based compensation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establishing policies with respect to equity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approving the list of companies, if any, to be included in any compensation peer group used to determine pay levels based on criteria the compensation committee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approving (or if it deems it appropriate, making recommendations to the full board of directors regarding) any employment or post-employment agreement or arrangement (including severance and change in control benefits) applicable to any of our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with management and approving our disclosures under the caption “Compensation Discussion and Analysis” to be included in our annual proxy statement or annual report on Form 10-K, in accordance with the rules of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preparing the compensation committee report on executive officer compensation as required by the SEC to be included in our annual proxy statement or annual report on Form 10-K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with management and making recommendations to the full board of directors regarding the plans for succession of our Chief Executive Officer and other key executives;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on an annual basis the performance of the compensation committee and the compensation committee charter. </w:t>
            </w:r>
          </w:p>
        </w:tc>
      </w:tr>
    </w:tbl>
    <w:p>
      <w:pPr>
        <w:pStyle w:val="TextBody"/>
        <w:bidi w:val="0"/>
        <w:spacing w:before="180" w:after="0"/>
        <w:jc w:val="left"/>
        <w:rPr>
          <w:rFonts w:ascii="Arial" w:hAnsi="Arial"/>
          <w:sz w:val="19"/>
        </w:rPr>
      </w:pPr>
      <w:r>
        <w:rPr>
          <w:rFonts w:ascii="Arial" w:hAnsi="Arial"/>
          <w:sz w:val="19"/>
        </w:rPr>
        <w:t xml:space="preserve">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80" w:after="0"/>
        <w:jc w:val="left"/>
        <w:rPr>
          <w:rFonts w:ascii="Arial" w:hAnsi="Arial"/>
          <w:b/>
          <w:i/>
          <w:sz w:val="19"/>
        </w:rPr>
      </w:pPr>
      <w:r>
        <w:rPr>
          <w:rFonts w:ascii="Arial" w:hAnsi="Arial"/>
          <w:b/>
          <w:i/>
          <w:sz w:val="19"/>
        </w:rPr>
        <w:t xml:space="preserve">Nominating and Corporate Governance Committee </w:t>
      </w:r>
    </w:p>
    <w:p>
      <w:pPr>
        <w:pStyle w:val="TextBody"/>
        <w:bidi w:val="0"/>
        <w:spacing w:before="40" w:after="0"/>
        <w:jc w:val="left"/>
        <w:rPr>
          <w:rFonts w:ascii="Arial" w:hAnsi="Arial"/>
          <w:sz w:val="19"/>
        </w:rPr>
      </w:pPr>
      <w:r>
        <w:rPr>
          <w:rFonts w:ascii="Arial" w:hAnsi="Arial"/>
          <w:sz w:val="19"/>
        </w:rPr>
        <w:t xml:space="preserve">Our nominating and corporate governance committee consists of     ,     , and     .     serves as the chair of our nominating and corporate governance committee. Our board of directors has determined that each of the members of this committee satisfies the independence requirements. The primary functions of this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identifying, reviewing, screening, and evaluating candidates to serve on our board of directors consistent with criteria approved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determining the minimum qualifications for service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overseeing evaluations of director performance on the board and applicable committees of the board and determining whether continued service on our board is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and making recommendations to the board of directors concerning the size, structure, composition, and functioning of the board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reviewing any stockholder proposals submitted for inclusion in our proxy statement and recommending to the full board of directors any statements by us in response, and considering stockholder nominees for election to our board of directors at our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considering and assessing the independence of members of our board of directors and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developing a set of corporate governance guidelines, periodically reviewing these guidelines, and recommending to our board of directors any changes to such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overseeing our environmental, social, and governance strategies, targets, policies, performance, and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reviewing and assessing on an annual basis the performance of the nominating and corporate governance committee and the nominating and corporate governance committee charter.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 </w:t>
      </w:r>
    </w:p>
    <w:p>
      <w:pPr>
        <w:pStyle w:val="TextBody"/>
        <w:bidi w:val="0"/>
        <w:spacing w:before="24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80" w:after="0"/>
        <w:jc w:val="left"/>
        <w:rPr>
          <w:rFonts w:ascii="Arial" w:hAnsi="Arial"/>
          <w:sz w:val="19"/>
        </w:rPr>
      </w:pPr>
      <w:r>
        <w:rPr>
          <w:rFonts w:ascii="Arial" w:hAnsi="Arial"/>
          <w:sz w:val="19"/>
        </w:rPr>
        <w:t xml:space="preserve">None of our current or former executive officers serve as a member of the compensation committee. Except for Dr. Dong, who has served as a member of the board of directors of Neuron23 since June 2022 where Dr. Stagliano currently serves as chief executive officer and chair of the board, none of our officers serve, or have served during the last completed fiscal year, on the board of directors or compensation committee, or other committee serving an equivalent function, of any other entity that has one or more of its executive officers serving as a member of our board of directors or our compensation committee. </w:t>
      </w:r>
    </w:p>
    <w:p>
      <w:pPr>
        <w:pStyle w:val="TextBody"/>
        <w:bidi w:val="0"/>
        <w:spacing w:before="240" w:after="0"/>
        <w:jc w:val="left"/>
        <w:rPr>
          <w:rFonts w:ascii="Arial" w:hAnsi="Arial"/>
          <w:b/>
          <w:sz w:val="20"/>
        </w:rPr>
      </w:pPr>
      <w:r>
        <w:rPr>
          <w:rFonts w:ascii="Arial" w:hAnsi="Arial"/>
          <w:b/>
          <w:sz w:val="20"/>
        </w:rPr>
        <w:t xml:space="preserve">Code of Business Conduct and Ethics </w:t>
      </w:r>
    </w:p>
    <w:p>
      <w:pPr>
        <w:pStyle w:val="TextBody"/>
        <w:bidi w:val="0"/>
        <w:spacing w:before="80" w:after="0"/>
        <w:jc w:val="left"/>
        <w:rPr>
          <w:rFonts w:ascii="Arial" w:hAnsi="Arial"/>
          <w:sz w:val="19"/>
        </w:rPr>
      </w:pPr>
      <w:r>
        <w:rPr>
          <w:rFonts w:ascii="Arial" w:hAnsi="Arial"/>
          <w:sz w:val="19"/>
        </w:rPr>
        <w:t xml:space="preserve">In connection with this offering, we intend to adopt a written code of business conduct and ethics that applies to our directors, officers, and employees, including our principal executive officer, principal financial officer, principal accounting officer or controller, or person performing similar functions. Following this offering, a current copy of the code will be available on the Corporate Governance section of our website, </w:t>
      </w:r>
      <w:r>
        <w:rPr>
          <w:rFonts w:ascii="Arial" w:hAnsi="Arial"/>
          <w:i/>
          <w:sz w:val="19"/>
        </w:rPr>
        <w:t>www.electra-therapeutics.com</w:t>
      </w:r>
      <w:r>
        <w:rPr>
          <w:rFonts w:ascii="Arial" w:hAnsi="Arial"/>
          <w:sz w:val="19"/>
        </w:rPr>
        <w:t xml:space="preserve">. We have included our website in this prospectus solely as a textual reference.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w:t>
      </w:r>
    </w:p>
    <w:p>
      <w:pPr>
        <w:pStyle w:val="TextBody"/>
        <w:bidi w:val="0"/>
        <w:spacing w:before="240" w:after="0"/>
        <w:jc w:val="left"/>
        <w:rPr>
          <w:rFonts w:ascii="Arial" w:hAnsi="Arial"/>
          <w:b/>
          <w:sz w:val="20"/>
        </w:rPr>
      </w:pPr>
      <w:r>
        <w:rPr>
          <w:rFonts w:ascii="Arial" w:hAnsi="Arial"/>
          <w:b/>
          <w:sz w:val="20"/>
        </w:rPr>
        <w:t xml:space="preserve">Director Independence </w:t>
      </w:r>
    </w:p>
    <w:p>
      <w:pPr>
        <w:pStyle w:val="TextBody"/>
        <w:bidi w:val="0"/>
        <w:spacing w:before="80" w:after="0"/>
        <w:jc w:val="left"/>
        <w:rPr>
          <w:rFonts w:ascii="Arial" w:hAnsi="Arial"/>
          <w:sz w:val="19"/>
        </w:rPr>
      </w:pPr>
      <w:r>
        <w:rPr>
          <w:rFonts w:ascii="Arial" w:hAnsi="Arial"/>
          <w:sz w:val="19"/>
        </w:rPr>
        <w:t xml:space="preserve">Our board of directors has undertaken a review of the independence of each director. Based on information provided by each director concerning his or her background, employment, and affiliations, our board of directors has determined that     ,     , and     do not have relationships that would interfere with the exercise of independent judgment in carrying out the responsibilities of a director and that each of these directors is “independent” as that term is defined under the applicable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Person Transactions.”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4" w:name="toc61940_12"/>
      <w:bookmarkEnd w:id="14"/>
      <w:r>
        <w:rPr>
          <w:rFonts w:ascii="Arial" w:hAnsi="Arial"/>
          <w:b/>
          <w:sz w:val="20"/>
        </w:rPr>
        <w:t xml:space="preserve">EXECUTIVE AND DIRECTOR COMPENSATION </w:t>
      </w:r>
    </w:p>
    <w:p>
      <w:pPr>
        <w:pStyle w:val="TextBody"/>
        <w:bidi w:val="0"/>
        <w:spacing w:before="360" w:after="0"/>
        <w:jc w:val="left"/>
        <w:rPr>
          <w:rFonts w:ascii="Arial" w:hAnsi="Arial"/>
          <w:sz w:val="19"/>
        </w:rPr>
      </w:pPr>
      <w:r>
        <w:rPr>
          <w:rFonts w:ascii="Arial" w:hAnsi="Arial"/>
          <w:sz w:val="19"/>
        </w:rPr>
        <w:t xml:space="preserve">Our named executive officers for the year ended December 31, 2025, consisting of our principal executive officer and the next two most highly compensated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Quehuong (Kathy) Dong, Pharm.D., M.B.A.,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Kim-Hien Dao, D.O., Ph.D., our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Gary S. Koe, Ph.D., our Chief Technical Officer. </w:t>
            </w:r>
          </w:p>
        </w:tc>
      </w:tr>
    </w:tbl>
    <w:p>
      <w:pPr>
        <w:pStyle w:val="TextBody"/>
        <w:bidi w:val="0"/>
        <w:spacing w:before="240" w:after="0"/>
        <w:jc w:val="left"/>
        <w:rPr>
          <w:rFonts w:ascii="Arial" w:hAnsi="Arial"/>
          <w:b/>
          <w:sz w:val="20"/>
        </w:rPr>
      </w:pPr>
      <w:r>
        <w:rPr>
          <w:rFonts w:ascii="Arial" w:hAnsi="Arial"/>
          <w:b/>
          <w:sz w:val="20"/>
        </w:rPr>
        <w:t xml:space="preserve">Summary Compensation Table for the Year Ended December 31, 2025 </w:t>
      </w:r>
    </w:p>
    <w:p>
      <w:pPr>
        <w:pStyle w:val="TextBody"/>
        <w:bidi w:val="0"/>
        <w:spacing w:before="80" w:after="0"/>
        <w:jc w:val="left"/>
        <w:rPr>
          <w:rFonts w:ascii="Arial" w:hAnsi="Arial"/>
          <w:sz w:val="19"/>
        </w:rPr>
      </w:pPr>
      <w:r>
        <w:rPr>
          <w:rFonts w:ascii="Arial" w:hAnsi="Arial"/>
          <w:sz w:val="19"/>
        </w:rPr>
        <w:t xml:space="preserve">The following table presents all of the compensation awarded to, earned by or paid to our named executive officers during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2"/>
        <w:gridCol w:w="124"/>
        <w:gridCol w:w="77"/>
        <w:gridCol w:w="652"/>
        <w:gridCol w:w="60"/>
        <w:gridCol w:w="124"/>
        <w:gridCol w:w="72"/>
        <w:gridCol w:w="974"/>
        <w:gridCol w:w="60"/>
        <w:gridCol w:w="124"/>
        <w:gridCol w:w="77"/>
        <w:gridCol w:w="1038"/>
        <w:gridCol w:w="60"/>
        <w:gridCol w:w="124"/>
        <w:gridCol w:w="141"/>
        <w:gridCol w:w="1889"/>
        <w:gridCol w:w="60"/>
        <w:gridCol w:w="124"/>
        <w:gridCol w:w="60"/>
        <w:gridCol w:w="985"/>
        <w:gridCol w:w="68"/>
      </w:tblGrid>
      <w:tr>
        <w:trPr/>
        <w:tc>
          <w:tcPr>
            <w:tcW w:w="331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312"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AND PRINCIPAL POSITION</w:t>
            </w:r>
          </w:p>
        </w:tc>
        <w:tc>
          <w:tcPr>
            <w:tcW w:w="124" w:type="dxa"/>
            <w:tcBorders/>
            <w:vAlign w:val="bottom"/>
          </w:tcPr>
          <w:p>
            <w:pPr>
              <w:pStyle w:val="TableContents"/>
              <w:bidi w:val="0"/>
              <w:spacing w:before="0" w:after="283"/>
              <w:jc w:val="left"/>
              <w:rPr/>
            </w:pPr>
            <w:r>
              <w:rPr/>
              <w:t>  </w:t>
            </w:r>
          </w:p>
        </w:tc>
        <w:tc>
          <w:tcPr>
            <w:tcW w:w="72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4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AWARDS</w:t>
              <w:br/>
              <w:t>($) (1)</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NON-EQUITY</w:t>
              <w:br/>
              <w:t>INCENTIVE</w:t>
              <w:br/>
              <w:t>PLAN</w:t>
              <w:br/>
              <w:t>COMPENSATION</w:t>
              <w:br/>
              <w:t>($)  (2)</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4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br/>
              <w:t>($)</w:t>
            </w:r>
          </w:p>
        </w:tc>
        <w:tc>
          <w:tcPr>
            <w:tcW w:w="68"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 President and Chief Executive Officer</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485,000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283,037</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1,018,037</w:t>
            </w:r>
          </w:p>
        </w:tc>
        <w:tc>
          <w:tcPr>
            <w:tcW w:w="68" w:type="dxa"/>
            <w:tcBorders/>
            <w:shd w:fill="CCEEFF" w:val="clear"/>
            <w:vAlign w:val="bottom"/>
          </w:tcPr>
          <w:p>
            <w:pPr>
              <w:pStyle w:val="TableContents"/>
              <w:bidi w:val="0"/>
              <w:spacing w:before="0" w:after="283"/>
              <w:jc w:val="left"/>
              <w:rPr/>
            </w:pPr>
            <w:r>
              <w:rPr/>
              <w:t> </w:t>
            </w:r>
          </w:p>
        </w:tc>
      </w:tr>
      <w:tr>
        <w:trPr/>
        <w:tc>
          <w:tcPr>
            <w:tcW w:w="3312" w:type="dxa"/>
            <w:tcBorders/>
          </w:tcPr>
          <w:p>
            <w:pPr>
              <w:pStyle w:val="TableContents"/>
              <w:bidi w:val="0"/>
              <w:spacing w:before="0" w:after="0"/>
              <w:jc w:val="left"/>
              <w:rPr>
                <w:rFonts w:ascii="Arial" w:hAnsi="Arial"/>
                <w:sz w:val="19"/>
              </w:rPr>
            </w:pPr>
            <w:r>
              <w:rPr>
                <w:rFonts w:ascii="Arial" w:hAnsi="Arial"/>
                <w:sz w:val="19"/>
              </w:rPr>
              <w:t>Kim-Hien Dao, D.O., Ph.D., Chief Medical Officer</w:t>
            </w:r>
          </w:p>
        </w:tc>
        <w:tc>
          <w:tcPr>
            <w:tcW w:w="12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400,107</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right"/>
              <w:rPr/>
            </w:pPr>
            <w:r>
              <w:rPr/>
              <w:t>147,040</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547,147</w:t>
            </w:r>
          </w:p>
        </w:tc>
        <w:tc>
          <w:tcPr>
            <w:tcW w:w="68" w:type="dxa"/>
            <w:tcBorders/>
            <w:vAlign w:val="bottom"/>
          </w:tcPr>
          <w:p>
            <w:pPr>
              <w:pStyle w:val="TableContents"/>
              <w:bidi w:val="0"/>
              <w:spacing w:before="0" w:after="283"/>
              <w:jc w:val="left"/>
              <w:rPr/>
            </w:pPr>
            <w:r>
              <w:rPr/>
              <w:t> </w:t>
            </w:r>
          </w:p>
        </w:tc>
      </w:tr>
      <w:tr>
        <w:trPr/>
        <w:tc>
          <w:tcPr>
            <w:tcW w:w="3312" w:type="dxa"/>
            <w:tcBorders/>
            <w:shd w:fill="CCEEFF" w:val="clear"/>
          </w:tcPr>
          <w:p>
            <w:pPr>
              <w:pStyle w:val="TableContents"/>
              <w:bidi w:val="0"/>
              <w:spacing w:before="0" w:after="0"/>
              <w:jc w:val="left"/>
              <w:rPr>
                <w:rFonts w:ascii="Arial" w:hAnsi="Arial"/>
                <w:sz w:val="19"/>
              </w:rPr>
            </w:pPr>
            <w:r>
              <w:rPr>
                <w:rFonts w:ascii="Arial" w:hAnsi="Arial"/>
                <w:sz w:val="19"/>
              </w:rPr>
              <w:t>Gary S. Koe, Ph.D., Chief Technical Officer</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389,870</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188,731</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right"/>
              <w:rPr/>
            </w:pPr>
            <w:r>
              <w:rPr/>
              <w:t>133,264</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711,865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accordance with SEC rules, this column reflects the aggregate grant date fair value of the stock options granted during the year ended December 31, 2025. These amounts have been computed in accordance with Financial Accounting Standards Board (FASB), Accounting Standards Codification (ASC) Topic 718. As required by SEC rules, the amounts shown exclude the impact of estimated forfeitures related to service-based vesting conditions. Assumptions used in the calculation of these amounts are described in Note 2 to our financial statements included elsewhere in this prospectus. These amounts do not reflect the actual economic value that may be realized by our named executive officers upon vesting or exercise of the stock options or the sale of the common stock underlying such awards.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amounts disclosed represent performance-based bonuses earned with respect to the year ended December 31, 2025, as described in the subsection below titled “—Annual Bonuses.” </w:t>
            </w:r>
          </w:p>
        </w:tc>
      </w:tr>
    </w:tbl>
    <w:p>
      <w:pPr>
        <w:pStyle w:val="TextBody"/>
        <w:bidi w:val="0"/>
        <w:spacing w:before="240" w:after="0"/>
        <w:jc w:val="left"/>
        <w:rPr>
          <w:rFonts w:ascii="Arial" w:hAnsi="Arial"/>
          <w:b/>
          <w:sz w:val="20"/>
        </w:rPr>
      </w:pPr>
      <w:r>
        <w:rPr>
          <w:rFonts w:ascii="Arial" w:hAnsi="Arial"/>
          <w:b/>
          <w:sz w:val="20"/>
        </w:rPr>
        <w:t xml:space="preserve">Narrative to Summary Compensation Table </w:t>
      </w:r>
    </w:p>
    <w:p>
      <w:pPr>
        <w:pStyle w:val="TextBody"/>
        <w:bidi w:val="0"/>
        <w:spacing w:before="80" w:after="0"/>
        <w:jc w:val="left"/>
        <w:rPr>
          <w:rFonts w:ascii="Arial" w:hAnsi="Arial"/>
          <w:b/>
          <w:i/>
          <w:sz w:val="19"/>
        </w:rPr>
      </w:pPr>
      <w:r>
        <w:rPr>
          <w:rFonts w:ascii="Arial" w:hAnsi="Arial"/>
          <w:b/>
          <w:i/>
          <w:sz w:val="19"/>
        </w:rPr>
        <w:t xml:space="preserve">Annual Base Salary </w:t>
      </w:r>
    </w:p>
    <w:p>
      <w:pPr>
        <w:pStyle w:val="TextBody"/>
        <w:bidi w:val="0"/>
        <w:spacing w:before="40" w:after="0"/>
        <w:jc w:val="left"/>
        <w:rPr>
          <w:rFonts w:ascii="Arial" w:hAnsi="Arial"/>
          <w:sz w:val="19"/>
        </w:rPr>
      </w:pPr>
      <w:r>
        <w:rPr>
          <w:rFonts w:ascii="Arial" w:hAnsi="Arial"/>
          <w:sz w:val="19"/>
        </w:rPr>
        <w:t xml:space="preserve">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the scope of such named executive officer’s responsibilities and competitive market compensation paid by other companies for similar positions within the industry and geography. Base salaries are reviewed periodically and adjusted from time to time to realign salaries with market levels after taking into account individual responsibilities, performance and experience. The 2025 annual base salary rates for our named executive officers are set forth in the table below, and the base salaries ultimately earned by our named executive officers for 2025 are reported above in the “Salary” column of the Summary Compensation Table.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51"/>
        <w:gridCol w:w="346"/>
        <w:gridCol w:w="154"/>
        <w:gridCol w:w="1040"/>
        <w:gridCol w:w="414"/>
      </w:tblGrid>
      <w:tr>
        <w:trPr/>
        <w:tc>
          <w:tcPr>
            <w:tcW w:w="825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8251"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346" w:type="dxa"/>
            <w:tcBorders/>
            <w:vAlign w:val="bottom"/>
          </w:tcPr>
          <w:p>
            <w:pPr>
              <w:pStyle w:val="TableContents"/>
              <w:bidi w:val="0"/>
              <w:spacing w:before="0" w:after="283"/>
              <w:jc w:val="left"/>
              <w:rPr/>
            </w:pPr>
            <w:r>
              <w:rPr/>
              <w:t>  </w:t>
            </w:r>
          </w:p>
        </w:tc>
        <w:tc>
          <w:tcPr>
            <w:tcW w:w="119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 BASE</w:t>
              <w:br/>
              <w:t>SALARY</w:t>
            </w:r>
          </w:p>
        </w:tc>
        <w:tc>
          <w:tcPr>
            <w:tcW w:w="414" w:type="dxa"/>
            <w:tcBorders/>
            <w:vAlign w:val="bottom"/>
          </w:tcPr>
          <w:p>
            <w:pPr>
              <w:pStyle w:val="TableContents"/>
              <w:bidi w:val="0"/>
              <w:spacing w:before="0" w:after="283"/>
              <w:jc w:val="left"/>
              <w:rPr/>
            </w:pPr>
            <w:r>
              <w:rPr/>
              <w:t> </w:t>
            </w:r>
          </w:p>
        </w:tc>
      </w:tr>
      <w:tr>
        <w:trPr/>
        <w:tc>
          <w:tcPr>
            <w:tcW w:w="8251"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w:t>
            </w:r>
          </w:p>
        </w:tc>
        <w:tc>
          <w:tcPr>
            <w:tcW w:w="3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500,000</w:t>
            </w:r>
          </w:p>
        </w:tc>
        <w:tc>
          <w:tcPr>
            <w:tcW w:w="414" w:type="dxa"/>
            <w:tcBorders/>
            <w:shd w:fill="CCEEFF" w:val="clear"/>
            <w:vAlign w:val="bottom"/>
          </w:tcPr>
          <w:p>
            <w:pPr>
              <w:pStyle w:val="TableContents"/>
              <w:bidi w:val="0"/>
              <w:spacing w:before="0" w:after="283"/>
              <w:jc w:val="left"/>
              <w:rPr/>
            </w:pPr>
            <w:r>
              <w:rPr/>
              <w:t> </w:t>
            </w:r>
            <w:r>
              <w:rPr/>
              <w:t>(1) </w:t>
            </w:r>
          </w:p>
        </w:tc>
      </w:tr>
      <w:tr>
        <w:trPr/>
        <w:tc>
          <w:tcPr>
            <w:tcW w:w="8251" w:type="dxa"/>
            <w:tcBorders/>
          </w:tcPr>
          <w:p>
            <w:pPr>
              <w:pStyle w:val="TableContents"/>
              <w:bidi w:val="0"/>
              <w:spacing w:before="0" w:after="0"/>
              <w:jc w:val="left"/>
              <w:rPr>
                <w:rFonts w:ascii="Arial" w:hAnsi="Arial"/>
                <w:sz w:val="19"/>
              </w:rPr>
            </w:pPr>
            <w:r>
              <w:rPr>
                <w:rFonts w:ascii="Arial" w:hAnsi="Arial"/>
                <w:sz w:val="19"/>
              </w:rPr>
              <w:t>Kim-Hien Dao, D.O., Ph.D.</w:t>
            </w:r>
          </w:p>
        </w:tc>
        <w:tc>
          <w:tcPr>
            <w:tcW w:w="34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400,107</w:t>
            </w:r>
          </w:p>
        </w:tc>
        <w:tc>
          <w:tcPr>
            <w:tcW w:w="414" w:type="dxa"/>
            <w:tcBorders/>
            <w:vAlign w:val="bottom"/>
          </w:tcPr>
          <w:p>
            <w:pPr>
              <w:pStyle w:val="TableContents"/>
              <w:bidi w:val="0"/>
              <w:spacing w:before="0" w:after="283"/>
              <w:jc w:val="left"/>
              <w:rPr/>
            </w:pPr>
            <w:r>
              <w:rPr/>
              <w:t> </w:t>
            </w:r>
          </w:p>
        </w:tc>
      </w:tr>
      <w:tr>
        <w:trPr/>
        <w:tc>
          <w:tcPr>
            <w:tcW w:w="8251" w:type="dxa"/>
            <w:tcBorders/>
            <w:shd w:fill="CCEEFF" w:val="clear"/>
          </w:tcPr>
          <w:p>
            <w:pPr>
              <w:pStyle w:val="TableContents"/>
              <w:bidi w:val="0"/>
              <w:spacing w:before="0" w:after="0"/>
              <w:jc w:val="left"/>
              <w:rPr>
                <w:rFonts w:ascii="Arial" w:hAnsi="Arial"/>
                <w:sz w:val="19"/>
              </w:rPr>
            </w:pPr>
            <w:r>
              <w:rPr>
                <w:rFonts w:ascii="Arial" w:hAnsi="Arial"/>
                <w:sz w:val="19"/>
              </w:rPr>
              <w:t>Gary S. Koe, Ph.D.</w:t>
            </w:r>
          </w:p>
        </w:tc>
        <w:tc>
          <w:tcPr>
            <w:tcW w:w="34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395,575</w:t>
            </w:r>
          </w:p>
        </w:tc>
        <w:tc>
          <w:tcPr>
            <w:tcW w:w="414" w:type="dxa"/>
            <w:tcBorders/>
            <w:shd w:fill="CCEEFF" w:val="clear"/>
            <w:vAlign w:val="bottom"/>
          </w:tcPr>
          <w:p>
            <w:pPr>
              <w:pStyle w:val="TableContents"/>
              <w:bidi w:val="0"/>
              <w:spacing w:before="0" w:after="283"/>
              <w:jc w:val="left"/>
              <w:rPr/>
            </w:pPr>
            <w:r>
              <w:rPr/>
              <w:t> </w:t>
            </w:r>
            <w:r>
              <w:rPr/>
              <w:t>(2)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May 2025, our board of directors approved an increase to Dr. Dong’s annual base salary from $460,000 to $500,000 effective May 16, 2025.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(2)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In May 2025, our board of directors approved an increase to Dr. Koe’s annual base salary from $380,361 to $395,575 effective May 16, 2025 in connection with his promotion from SVP, Head of Tech Ops to Chief Technical Officer. </w:t>
            </w:r>
          </w:p>
        </w:tc>
      </w:tr>
    </w:tbl>
    <w:p>
      <w:pPr>
        <w:pStyle w:val="TextBody"/>
        <w:bidi w:val="0"/>
        <w:spacing w:before="80" w:after="0"/>
        <w:jc w:val="left"/>
        <w:rPr>
          <w:rFonts w:ascii="Arial" w:hAnsi="Arial"/>
          <w:b/>
          <w:i/>
          <w:sz w:val="19"/>
        </w:rPr>
      </w:pPr>
      <w:r>
        <w:rPr>
          <w:rFonts w:ascii="Arial" w:hAnsi="Arial"/>
          <w:b/>
          <w:i/>
          <w:sz w:val="19"/>
        </w:rPr>
        <w:t xml:space="preserve">Annual Bonuses </w:t>
      </w:r>
    </w:p>
    <w:p>
      <w:pPr>
        <w:pStyle w:val="TextBody"/>
        <w:bidi w:val="0"/>
        <w:spacing w:before="40" w:after="0"/>
        <w:jc w:val="left"/>
        <w:rPr>
          <w:rFonts w:ascii="Arial" w:hAnsi="Arial"/>
          <w:sz w:val="19"/>
        </w:rPr>
      </w:pPr>
      <w:r>
        <w:rPr>
          <w:rFonts w:ascii="Arial" w:hAnsi="Arial"/>
          <w:sz w:val="19"/>
        </w:rPr>
        <w:t xml:space="preserve">In addition to base salaries, our named executive officers are eligible to receive annual bonuses based on the achievement of corporate and individual performance goals. For 2025, the corporate performance goals approved by our board of directors, included those related to research and development and clinical milestones and other corporate goals related to company finances and business development. Dr. Dong is eligible to receive an annual performance bonus weighted entirely on the achievement of corporate performance goals as determined by our board of directors. Drs. Dao and Koe are also eligible to receive annual bonuses based on the achievement of corporate and individual performance goals as determined by our board of directors, with 90% of the bonus based on achievement of corporate goals and 10% based on individual performance. These annual bonuses are paid out of a maximum bonus pool established by our board of directors (the bonus pool). For the year ended December 31, 2025, annual cash bonus targets, as a percentage of base salary, were 50% for Dr. Dong, 35% for Dr. Dao, and, with respect to Dr. Koe, 30% of his base salary through May 15, 2025 for the period he served as SVP, Head of Tech Ops and 35% for remainder of the year following his promotion to Chief Technical Officer. Following its assessment of 2025 corporate performance and, as applicable, individual performance, the board of directors determined that Dr. Dong had earned a 2025 annual bonus at 100% of target, Dr. Dao had earned a 2025 annual bonus at 105% of target, and Dr. Koe had earned a 2025 annual bonus on a blended basis at 103% of target. The annual bonuses ultimately earned by our named executive officers for 2025 are reported above in the “Non-Equity Incentive Plan Compensation” column of the Summary Compensation Table. </w:t>
      </w:r>
    </w:p>
    <w:p>
      <w:pPr>
        <w:pStyle w:val="TextBody"/>
        <w:bidi w:val="0"/>
        <w:spacing w:before="80" w:after="0"/>
        <w:jc w:val="left"/>
        <w:rPr>
          <w:rFonts w:ascii="Arial" w:hAnsi="Arial"/>
          <w:b/>
          <w:i/>
          <w:sz w:val="19"/>
        </w:rPr>
      </w:pPr>
      <w:r>
        <w:rPr>
          <w:rFonts w:ascii="Arial" w:hAnsi="Arial"/>
          <w:b/>
          <w:i/>
          <w:sz w:val="19"/>
        </w:rPr>
        <w:t xml:space="preserve">Equity-based Incentive Awards </w:t>
      </w:r>
    </w:p>
    <w:p>
      <w:pPr>
        <w:pStyle w:val="TextBody"/>
        <w:bidi w:val="0"/>
        <w:spacing w:before="40" w:after="0"/>
        <w:jc w:val="left"/>
        <w:rPr>
          <w:rFonts w:ascii="Arial" w:hAnsi="Arial"/>
          <w:sz w:val="19"/>
        </w:rPr>
      </w:pPr>
      <w:r>
        <w:rPr>
          <w:rFonts w:ascii="Arial" w:hAnsi="Arial"/>
          <w:sz w:val="19"/>
        </w:rPr>
        <w:t xml:space="preserve">Our equity-based incentive awards are designed to align the interests of our stockholders with those of our employees, including our named executive officers. The board of directors or an authorized committee thereof is responsible for approving equity grants. </w:t>
      </w:r>
    </w:p>
    <w:p>
      <w:pPr>
        <w:pStyle w:val="TextBody"/>
        <w:bidi w:val="0"/>
        <w:spacing w:before="180" w:after="0"/>
        <w:jc w:val="left"/>
        <w:rPr>
          <w:rFonts w:ascii="Arial" w:hAnsi="Arial"/>
          <w:sz w:val="19"/>
        </w:rPr>
      </w:pPr>
      <w:r>
        <w:rPr>
          <w:rFonts w:ascii="Arial" w:hAnsi="Arial"/>
          <w:sz w:val="19"/>
        </w:rPr>
        <w:t xml:space="preserve">Prior to this offering, we have granted stock options pursuant to our 2022 Stock Plan (2022 Plan) to certain of our executives, including our named executive officers. In addition, pursuant to the Electra Therapeutics LLC 2023 Equity Incentive Plan (2023 Plan), we granted, through Electra Therapeutics LLC (Electra LLC), Drs. Dong and Koe common units of Electra LLC intended to qualify as “profits interests” for U.S. federal income tax purposes. In connection with our spin-out from Star Therapeutics LLC, Electra LLC was formed as a holding company whose sole asset is the shares of our Series A redeemable convertible preferred stock. Service providers to us or Electra LLC were eligible to receive Profits Interest Unit (as defined below) awards under the 2023 Plan. Following this offering, we will grant equity awards under the terms of our 2026 Equity Incentive Plan (2026 Plan, and together with the 2022 Stock Plan, the equity plans). The terms of our equity plans and the 2023 Plan are described below under the subsection titled “—Equity Benefit Plans.” Our named executive officers received the following stock option awards under our 2022 Plan in the year ended December 31, 2025: </w:t>
      </w:r>
    </w:p>
    <w:p>
      <w:pPr>
        <w:pStyle w:val="TextBody"/>
        <w:bidi w:val="0"/>
        <w:spacing w:before="180" w:after="0"/>
        <w:jc w:val="left"/>
        <w:rPr>
          <w:rFonts w:ascii="Arial" w:hAnsi="Arial"/>
          <w:sz w:val="19"/>
        </w:rPr>
      </w:pPr>
      <w:r>
        <w:rPr>
          <w:rFonts w:ascii="Arial" w:hAnsi="Arial"/>
          <w:sz w:val="19"/>
        </w:rPr>
        <w:t xml:space="preserve">On November 13, 2025, our board of directors granted option awards to each of Dr. Dong and Dr. Koe, covering 106,370 shares of our common stock and 70,914 shares of our common stock, respectively. These options are early exercisable, and have an exercise price of $3.30 per share and vest over a period of four years, with 25% of the option vesting on the first anniversary of the vesting commencement date and the remaining 75% of the option vesting ratably on a monthly basis thereafter, subject to Drs. Dong’s and Koe’s, as applicable, continued service with us through each vesting date. </w:t>
      </w:r>
    </w:p>
    <w:p>
      <w:pPr>
        <w:pStyle w:val="TextBody"/>
        <w:bidi w:val="0"/>
        <w:spacing w:before="180" w:after="0"/>
        <w:jc w:val="left"/>
        <w:rPr>
          <w:rFonts w:ascii="Arial" w:hAnsi="Arial"/>
          <w:sz w:val="19"/>
        </w:rPr>
      </w:pPr>
      <w:r>
        <w:rPr>
          <w:rFonts w:ascii="Arial" w:hAnsi="Arial"/>
          <w:sz w:val="19"/>
        </w:rPr>
        <w:t xml:space="preserve">Additionally, on February 13, 2026, our board of directors granted an option award to each of Dr. Dong, Dr. Dao and Dr. Koe, covering 1,138,950, 464,576 and 347,959, shares of our common stock, respectively. Each award has an exercise price of $3.30 per share and vests ratably on a monthly basis over four years, subject to the respective named executive officer’s continued service with us through each vesting date. Each option is also subject to early exercise and is fully exercisable as of the grant date. </w:t>
      </w:r>
    </w:p>
    <w:p>
      <w:pPr>
        <w:pStyle w:val="TextBody"/>
        <w:bidi w:val="0"/>
        <w:spacing w:before="180" w:after="0"/>
        <w:jc w:val="left"/>
        <w:rPr>
          <w:rFonts w:ascii="Arial" w:hAnsi="Arial"/>
          <w:sz w:val="19"/>
        </w:rPr>
      </w:pPr>
      <w:r>
        <w:rPr>
          <w:rFonts w:ascii="Arial" w:hAnsi="Arial"/>
          <w:sz w:val="19"/>
        </w:rPr>
        <w:t xml:space="preserve">On February 13, 2026, our board of directors also granted an option award to Dr. Dong covering 342,048 shares of our common stock. The award has an exercise price of $3.30 per share and vests ratably on a monthly basis over four years, subject to and contingent on (i) Dr. Dong’s continued service with us through each vesting date and (ii) the consummation of a change in control (as defined in the Dong Agreement, as defined below) on or before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later of (a) September 30, 2027 and (b) the date that is three months following the date our board of directors is presented with the ipsoprubart sHLH pivotal topline comparative data. The option is also subject to early exercise and is fully exercisable as of the grant date. </w:t>
      </w:r>
    </w:p>
    <w:p>
      <w:pPr>
        <w:pStyle w:val="TextBody"/>
        <w:bidi w:val="0"/>
        <w:spacing w:before="180" w:after="0"/>
        <w:jc w:val="left"/>
        <w:rPr>
          <w:rFonts w:ascii="Arial" w:hAnsi="Arial"/>
          <w:sz w:val="19"/>
        </w:rPr>
      </w:pPr>
      <w:r>
        <w:rPr>
          <w:rFonts w:ascii="Arial" w:hAnsi="Arial"/>
          <w:sz w:val="19"/>
        </w:rPr>
        <w:t xml:space="preserve">Stock options granted to our named executive officers are subject to potential acceleration of vesting in connection with a change of control, as described below under the subsection titled “—Potential Payments Upon Termination or Change of Control.” </w:t>
      </w:r>
    </w:p>
    <w:p>
      <w:pPr>
        <w:pStyle w:val="TextBody"/>
        <w:bidi w:val="0"/>
        <w:spacing w:before="240" w:after="0"/>
        <w:jc w:val="left"/>
        <w:rPr>
          <w:rFonts w:ascii="Arial" w:hAnsi="Arial"/>
          <w:b/>
          <w:sz w:val="20"/>
        </w:rPr>
      </w:pPr>
      <w:r>
        <w:rPr>
          <w:rFonts w:ascii="Arial" w:hAnsi="Arial"/>
          <w:b/>
          <w:sz w:val="20"/>
        </w:rPr>
        <w:t xml:space="preserve">Outstanding Equity Awards as of December 31, 2025 </w:t>
      </w:r>
    </w:p>
    <w:p>
      <w:pPr>
        <w:pStyle w:val="TextBody"/>
        <w:bidi w:val="0"/>
        <w:spacing w:before="80" w:after="0"/>
        <w:jc w:val="left"/>
        <w:rPr>
          <w:rFonts w:ascii="Arial" w:hAnsi="Arial"/>
          <w:sz w:val="19"/>
        </w:rPr>
      </w:pPr>
      <w:r>
        <w:rPr>
          <w:rFonts w:ascii="Arial" w:hAnsi="Arial"/>
          <w:sz w:val="19"/>
        </w:rPr>
        <w:t xml:space="preserve">The following table presents the outstanding equity awards held by each named executive officer as of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5980" w:type="dxa"/>
        <w:jc w:val="center"/>
        <w:tblInd w:w="0" w:type="dxa"/>
        <w:tblLayout w:type="fixed"/>
        <w:tblCellMar>
          <w:top w:w="0" w:type="dxa"/>
          <w:left w:w="0" w:type="dxa"/>
          <w:bottom w:w="0" w:type="dxa"/>
          <w:right w:w="0" w:type="dxa"/>
        </w:tblCellMar>
      </w:tblPr>
      <w:tblGrid>
        <w:gridCol w:w="1520"/>
        <w:gridCol w:w="60"/>
        <w:gridCol w:w="60"/>
        <w:gridCol w:w="845"/>
        <w:gridCol w:w="60"/>
        <w:gridCol w:w="60"/>
        <w:gridCol w:w="218"/>
        <w:gridCol w:w="2037"/>
        <w:gridCol w:w="350"/>
        <w:gridCol w:w="60"/>
        <w:gridCol w:w="126"/>
        <w:gridCol w:w="1694"/>
        <w:gridCol w:w="60"/>
        <w:gridCol w:w="60"/>
        <w:gridCol w:w="403"/>
        <w:gridCol w:w="1747"/>
        <w:gridCol w:w="60"/>
        <w:gridCol w:w="60"/>
        <w:gridCol w:w="153"/>
        <w:gridCol w:w="1127"/>
        <w:gridCol w:w="60"/>
        <w:gridCol w:w="60"/>
        <w:gridCol w:w="169"/>
        <w:gridCol w:w="1411"/>
        <w:gridCol w:w="60"/>
        <w:gridCol w:w="60"/>
        <w:gridCol w:w="112"/>
        <w:gridCol w:w="1498"/>
        <w:gridCol w:w="60"/>
        <w:gridCol w:w="60"/>
        <w:gridCol w:w="112"/>
        <w:gridCol w:w="1498"/>
        <w:gridCol w:w="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80" w:type="dxa"/>
            <w:gridSpan w:val="22"/>
            <w:tcBorders>
              <w:bottom w:val="single" w:sz="2" w:space="0" w:color="000000"/>
            </w:tcBorders>
            <w:tcMar>
              <w:bottom w:w="28" w:type="dxa"/>
            </w:tcMar>
            <w:vAlign w:val="bottom"/>
          </w:tcPr>
          <w:p>
            <w:pPr>
              <w:pStyle w:val="TableContents"/>
              <w:bidi w:val="0"/>
              <w:spacing w:before="0" w:after="283"/>
              <w:jc w:val="center"/>
              <w:rPr>
                <w:b/>
              </w:rPr>
            </w:pPr>
            <w:r>
              <w:rPr>
                <w:b/>
              </w:rPr>
              <w:t>OPTION AWARDS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4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STOCK AWARDS (2)</w:t>
            </w:r>
          </w:p>
        </w:tc>
        <w:tc>
          <w:tcPr>
            <w:tcW w:w="60"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pBdr>
                <w:bottom w:val="single" w:sz="2" w:space="1" w:color="000000"/>
              </w:pBdr>
              <w:bidi w:val="0"/>
              <w:spacing w:before="0" w:after="0"/>
              <w:jc w:val="left"/>
              <w:rPr>
                <w:rFonts w:ascii="Arial" w:hAnsi="Arial"/>
                <w:b/>
                <w:sz w:val="14"/>
              </w:rPr>
            </w:pPr>
            <w:r>
              <w:rPr>
                <w:rFonts w:ascii="Arial" w:hAnsi="Arial"/>
                <w:b/>
                <w:sz w:val="14"/>
              </w:rPr>
              <w:t>NAME</w:t>
            </w:r>
          </w:p>
        </w:tc>
        <w:tc>
          <w:tcPr>
            <w:tcW w:w="60" w:type="dxa"/>
            <w:tcBorders/>
            <w:vAlign w:val="bottom"/>
          </w:tcPr>
          <w:p>
            <w:pPr>
              <w:pStyle w:val="TableContents"/>
              <w:bidi w:val="0"/>
              <w:spacing w:before="0" w:after="283"/>
              <w:jc w:val="left"/>
              <w:rPr/>
            </w:pPr>
            <w:r>
              <w:rPr/>
              <w:t> </w:t>
            </w:r>
          </w:p>
        </w:tc>
        <w:tc>
          <w:tcPr>
            <w:tcW w:w="9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2" w:space="0" w:color="000000"/>
            </w:tcBorders>
            <w:tcMar>
              <w:bottom w:w="28" w:type="dxa"/>
            </w:tcMar>
            <w:vAlign w:val="bottom"/>
          </w:tcPr>
          <w:p>
            <w:pPr>
              <w:pStyle w:val="TableContents"/>
              <w:bidi w:val="0"/>
              <w:spacing w:before="0" w:after="283"/>
              <w:jc w:val="center"/>
              <w:rPr/>
            </w:pPr>
            <w:r>
              <w:rPr>
                <w:b/>
              </w:rPr>
              <w:t>NUMBER OF</w:t>
            </w:r>
            <w:r>
              <w:rPr/>
              <w:br/>
            </w:r>
            <w:r>
              <w:rPr>
                <w:b/>
              </w:rPr>
              <w:t>SHARES OR</w:t>
            </w:r>
            <w:r>
              <w:rPr/>
              <w:br/>
            </w:r>
            <w:r>
              <w:rPr>
                <w:b/>
              </w:rPr>
              <w:t>UNITS OF</w:t>
            </w:r>
            <w:r>
              <w:rPr/>
              <w:br/>
            </w:r>
            <w:r>
              <w:rPr>
                <w:b/>
              </w:rPr>
              <w:t>STOCK THAT</w:t>
            </w:r>
            <w:r>
              <w:rPr/>
              <w:br/>
            </w:r>
            <w:r>
              <w:rPr>
                <w:b/>
              </w:rPr>
              <w:t>HAVE NOT</w:t>
            </w:r>
            <w:r>
              <w:rPr/>
              <w:br/>
            </w:r>
            <w:r>
              <w:rPr>
                <w:b/>
              </w:rPr>
              <w:t>VESTED</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2" w:space="0" w:color="000000"/>
            </w:tcBorders>
            <w:tcMar>
              <w:bottom w:w="28" w:type="dxa"/>
            </w:tcMar>
            <w:vAlign w:val="bottom"/>
          </w:tcPr>
          <w:p>
            <w:pPr>
              <w:pStyle w:val="TableContents"/>
              <w:bidi w:val="0"/>
              <w:spacing w:before="0" w:after="283"/>
              <w:jc w:val="center"/>
              <w:rPr/>
            </w:pPr>
            <w:r>
              <w:rPr>
                <w:b/>
              </w:rPr>
              <w:t>MARKET</w:t>
            </w:r>
            <w:r>
              <w:rPr/>
              <w:br/>
            </w:r>
            <w:r>
              <w:rPr>
                <w:b/>
              </w:rPr>
              <w:t>VALUE OF</w:t>
            </w:r>
            <w:r>
              <w:rPr/>
              <w:br/>
            </w:r>
            <w:r>
              <w:rPr>
                <w:b/>
              </w:rPr>
              <w:t>SHARES OF</w:t>
            </w:r>
            <w:r>
              <w:rPr/>
              <w:br/>
            </w:r>
            <w:r>
              <w:rPr>
                <w:b/>
              </w:rPr>
              <w:t>UNITS OR</w:t>
            </w:r>
            <w:r>
              <w:rPr/>
              <w:br/>
            </w:r>
            <w:r>
              <w:rPr>
                <w:b/>
              </w:rPr>
              <w:t>STOCK THAT</w:t>
            </w:r>
            <w:r>
              <w:rPr/>
              <w:br/>
            </w:r>
            <w:r>
              <w:rPr>
                <w:b/>
              </w:rPr>
              <w:t>HAVE NOT</w:t>
            </w:r>
            <w:r>
              <w:rPr/>
              <w:br/>
            </w:r>
            <w:r>
              <w:rPr>
                <w:b/>
              </w:rPr>
              <w:t>VESTED</w:t>
            </w:r>
            <w:r>
              <w:rPr/>
              <w:br/>
            </w:r>
            <w:r>
              <w:rPr>
                <w:b/>
              </w:rPr>
              <w:t>($) (3)</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Arial" w:hAnsi="Arial"/>
                <w:sz w:val="18"/>
              </w:rPr>
            </w:pPr>
            <w:r>
              <w:rPr>
                <w:rFonts w:ascii="Arial" w:hAnsi="Arial"/>
                <w:sz w:val="18"/>
              </w:rPr>
              <w:t>Quehuong (Kathy) Dong, Pharm.D., M.B.A.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03/24/2022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03/24/2022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88,642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03/23/2032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423,038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11/16/2033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148,487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112,850</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02/02/2024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10/16/2023 </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555,335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422,055</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05/08/2025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106,370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11/12/2035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restart"/>
            <w:tcBorders/>
          </w:tcPr>
          <w:p>
            <w:pPr>
              <w:pStyle w:val="TableContents"/>
              <w:bidi w:val="0"/>
              <w:spacing w:before="0" w:after="0"/>
              <w:jc w:val="left"/>
              <w:rPr>
                <w:rFonts w:ascii="Arial" w:hAnsi="Arial"/>
                <w:sz w:val="18"/>
              </w:rPr>
            </w:pPr>
            <w:r>
              <w:rPr>
                <w:rFonts w:ascii="Arial" w:hAnsi="Arial"/>
                <w:sz w:val="18"/>
              </w:rPr>
              <w:t>Kim-Hien Dao, D.O., Ph.D.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08/09/2023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04/03/2023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93,960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08/08/2033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11/17/2023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01/01/2024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35,457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11/16/2033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05/09/2024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05/16/2024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156,010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05/08/2034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11/14/2024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7" w:type="dxa"/>
            <w:tcBorders/>
            <w:vAlign w:val="bottom"/>
          </w:tcPr>
          <w:p>
            <w:pPr>
              <w:pStyle w:val="TableContents"/>
              <w:bidi w:val="0"/>
              <w:spacing w:before="0" w:after="283"/>
              <w:jc w:val="right"/>
              <w:rPr/>
            </w:pPr>
            <w:r>
              <w:rPr/>
              <w:t>11/14/2024 </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70,914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11/13/2034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20" w:type="dxa"/>
            <w:vMerge w:val="restart"/>
            <w:tcBorders/>
            <w:shd w:fill="CCEEFF" w:val="clear"/>
          </w:tcPr>
          <w:p>
            <w:pPr>
              <w:pStyle w:val="TableContents"/>
              <w:bidi w:val="0"/>
              <w:spacing w:before="0" w:after="0"/>
              <w:jc w:val="left"/>
              <w:rPr>
                <w:rFonts w:ascii="Arial" w:hAnsi="Arial"/>
                <w:sz w:val="18"/>
              </w:rPr>
            </w:pPr>
            <w:r>
              <w:rPr>
                <w:rFonts w:ascii="Arial" w:hAnsi="Arial"/>
                <w:sz w:val="18"/>
              </w:rPr>
              <w:t>Gary S. Koe, Ph.D.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03/24/2022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03/24/2022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53,185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03/23/2032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01/01/2024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70,914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11/16/2033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05/09/2024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05/16/2024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28,365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05/08/2034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2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11/13/2025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037" w:type="dxa"/>
            <w:tcBorders/>
            <w:shd w:fill="CCEEFF" w:val="clear"/>
            <w:vAlign w:val="bottom"/>
          </w:tcPr>
          <w:p>
            <w:pPr>
              <w:pStyle w:val="TableContents"/>
              <w:bidi w:val="0"/>
              <w:spacing w:before="0" w:after="283"/>
              <w:jc w:val="right"/>
              <w:rPr/>
            </w:pPr>
            <w:r>
              <w:rPr/>
              <w:t>05/16/2025 </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70,914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11/12/2035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All of the option awards were granted under the 2022 Plan, the terms of which plan is described below under “—Equity Benefit Plans—2022 Stock Plan.”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Represents Profits Interest Units. All of the Profits Interest Units were granted under the 2023 Plan, the terms of which plan is described below under the subsection titled “—Equity Benefit Plans—Electra Therapeutics LLC 2023 Equity Incentive Plan.” Each of the Profits Interest Units has a distribution threshold (i.e., profits interest threshold amount), which represents the fair market value of an Electra LLC common unit at the time of grant. Holders of Profits Interest Units will only participate in distributions from Electra LLC to the extent the value of the distributions made on all other units of Electra LLC exceed the applicable profits interest threshold amount. Prior to the closing of this offering, Electra LLC expects to distribute shares of our Series A redeemable convertible preferred stock to the unit holders of Electra LLC, including, to the extent the applicable profits interest threshold amount is satisfied, outstanding Profits Interest Units of Electra LLC (the LLC Distribution). Any shares of Series A redeemable convertible preferred stock received in the LLC Distribution will automatically convert into shares of our common stock immediately prior to the closing of this offering. Dr. Dong holds an aggregate of 2,345,871 Profits Interest Units, of which (i) 252,910 Profits Interest Units have a distribution threshold of $0.46 per unit, all of which are fully vested, (ii) 557,351 Profits Interest Units have a distribution threshold of $1.21 per unit, all of which are fully vested, and (iii) 1,535,610 Profits Interest Units have a distribution threshold of $1.77 per unit, 831,788 of which were vested as of December 31, 2025. Dr. Koe holds an aggregate of 270,087 Profits Interest Units, of which (x) 126,455 Profits Interest Units have a distribution threshold of $0.49 per unit, all of which are fully vested, and (y) 143,632 Profits Interest Units have a distribution threshold of $1.21 per unit, all of which are fully vested.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(3)</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market value is based on the fair market value of our Profits Interest Units as of December 31, 2025 of $2.53 per unit less the aggregate distribution threshold of the unvested Profits Interest Units.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(4)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25% of the total shares vest on the first anniversary of the vesting commencement date and the remaining 75% of the total shares vest ratably in monthly installments over the three-year period thereafter, subject to continuous service with us through each vesting date. In addition, the shares subject to this option are subject to acceleration as set forth in our Severance Benefit Plan (as described below). For more information, please see the subsection titled “—Potential Payments Upon Termination or Change of Control” below. Each option is also subject to early exercise and is fully exercisable as of the grant date.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(5)</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25% of the total units vest on the first anniversary of the vesting commencement date and the remaining 75% of the total units vest ratably in monthly installments over the three-year period thereafter, subject to continuous service with us through each vesting date. In addition, if (a) Electra LLC is subject to a change in control before Dr. Dong’s service with Electra LLC terminates and (b) Dr. Dong is subject to an involuntary termination within 12 months after that change in control, then 100% of the units shall vest.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Employment Arrangements with Our Named Executive Officers </w:t>
      </w:r>
    </w:p>
    <w:p>
      <w:pPr>
        <w:pStyle w:val="TextBody"/>
        <w:bidi w:val="0"/>
        <w:spacing w:before="80" w:after="0"/>
        <w:jc w:val="left"/>
        <w:rPr>
          <w:rFonts w:ascii="Arial" w:hAnsi="Arial"/>
          <w:sz w:val="19"/>
        </w:rPr>
      </w:pPr>
      <w:r>
        <w:rPr>
          <w:rFonts w:ascii="Arial" w:hAnsi="Arial"/>
          <w:sz w:val="19"/>
        </w:rPr>
        <w:t xml:space="preserve">We have entered into an employment offer letter with each of our named executive officers. The material terms of each such agreement are described below. The employment of each of our named executive officers is “at will” and may be terminated at any time. </w:t>
      </w:r>
    </w:p>
    <w:p>
      <w:pPr>
        <w:pStyle w:val="TextBody"/>
        <w:bidi w:val="0"/>
        <w:spacing w:before="80" w:after="0"/>
        <w:jc w:val="left"/>
        <w:rPr>
          <w:rFonts w:ascii="Arial" w:hAnsi="Arial"/>
          <w:b/>
          <w:i/>
          <w:sz w:val="19"/>
        </w:rPr>
      </w:pPr>
      <w:r>
        <w:rPr>
          <w:rFonts w:ascii="Arial" w:hAnsi="Arial"/>
          <w:b/>
          <w:i/>
          <w:sz w:val="19"/>
        </w:rPr>
        <w:t xml:space="preserve">Quehuong (Kathy) Dong, Pharm.D., M.B.A. </w:t>
      </w:r>
    </w:p>
    <w:p>
      <w:pPr>
        <w:pStyle w:val="TextBody"/>
        <w:bidi w:val="0"/>
        <w:spacing w:before="40" w:after="0"/>
        <w:jc w:val="left"/>
        <w:rPr>
          <w:rFonts w:ascii="Arial" w:hAnsi="Arial"/>
          <w:sz w:val="19"/>
        </w:rPr>
      </w:pPr>
      <w:r>
        <w:rPr>
          <w:rFonts w:ascii="Arial" w:hAnsi="Arial"/>
          <w:sz w:val="19"/>
        </w:rPr>
        <w:t xml:space="preserve">Effective September 2023, we entered into an offer letter, as amended in November 2024 and May 2026, with Dr. Dong in connection with her service as our President and Chief Executive Officer (Dong Agreement). Under the Dong Agreement, Dr. Dong’s initial annual base salary was set at $425,000 (which has subsequently been increased to $517,500 effective January 1, 2026), subject to review and adjustment from time to time. The Dong Agreement also provides that Dr. Dong is eligible to receive an annual discretionary bonus at a target amount of 40% of her then-current base salary (which was subsequently increased to 50% of her then-current base salary effective beginning with her 2025 bonus opportunity), based on achievement of criteria determined by our board of directors. </w:t>
      </w:r>
    </w:p>
    <w:p>
      <w:pPr>
        <w:pStyle w:val="TextBody"/>
        <w:bidi w:val="0"/>
        <w:spacing w:before="180" w:after="0"/>
        <w:jc w:val="left"/>
        <w:rPr>
          <w:rFonts w:ascii="Arial" w:hAnsi="Arial"/>
          <w:sz w:val="19"/>
        </w:rPr>
      </w:pPr>
      <w:r>
        <w:rPr>
          <w:rFonts w:ascii="Arial" w:hAnsi="Arial"/>
          <w:sz w:val="19"/>
        </w:rPr>
        <w:t xml:space="preserve">Effective    2026, we entered into an amended and restated executive employment agreement with Dr. Dong in connection with her service as our President and Chief Executive Officer (A&amp;R Dong Agreement). Under the A&amp;R Dong Agreement, Dr. Dong’s annual base salary was set at $    , subject to review and adjustment from time to time. The A&amp;R Dong Agreement also provides that Dr. Dong is eligible to receive an annual discretionary bonus at a target amount of     % of her then-current base salary, based upon our and Dr. Dong’s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her employment, Dr. Dong will be entitled to receive severance benefits, as described below under “—Potential Payments Upon Termination or Change of Control.” </w:t>
      </w:r>
    </w:p>
    <w:p>
      <w:pPr>
        <w:pStyle w:val="TextBody"/>
        <w:bidi w:val="0"/>
        <w:spacing w:before="80" w:after="0"/>
        <w:jc w:val="left"/>
        <w:rPr>
          <w:rFonts w:ascii="Arial" w:hAnsi="Arial"/>
          <w:b/>
          <w:i/>
          <w:sz w:val="19"/>
        </w:rPr>
      </w:pPr>
      <w:r>
        <w:rPr>
          <w:rFonts w:ascii="Arial" w:hAnsi="Arial"/>
          <w:b/>
          <w:i/>
          <w:sz w:val="19"/>
        </w:rPr>
        <w:t xml:space="preserve">Gary S. Koe, Ph.D. </w:t>
      </w:r>
    </w:p>
    <w:p>
      <w:pPr>
        <w:pStyle w:val="TextBody"/>
        <w:bidi w:val="0"/>
        <w:spacing w:before="40" w:after="0"/>
        <w:jc w:val="left"/>
        <w:rPr>
          <w:rFonts w:ascii="Arial" w:hAnsi="Arial"/>
          <w:sz w:val="19"/>
        </w:rPr>
      </w:pPr>
      <w:r>
        <w:rPr>
          <w:rFonts w:ascii="Arial" w:hAnsi="Arial"/>
          <w:sz w:val="19"/>
        </w:rPr>
        <w:t xml:space="preserve">Effective November 2023, we entered into an offer letter, as amended in May 2025, with Dr. Koe in connection with his service as Chief Technical Officer (Koe Agreement). Under the Koe Agreement, Dr. Koe’s initial annual base salary was $395,575 (which has subsequently been increased to $419,310, effective January 1, 2026). The Koe Agreement also provides that Dr. Koe is eligible to receive an annual discretionary bonus at a target amount of 35% of his then-current base salary (which was subsequently increased to 40% of his then-current base salary effective beginning with his 2026 bonus opportunity), based on criteria to be established by our Chief Executive Officer and approved by our board of directors. The Koe Agreement also provides for an option to purchase 70,914 shares of our common stock, as described further under “—Equity-based Incentive Awards.” </w:t>
      </w:r>
    </w:p>
    <w:p>
      <w:pPr>
        <w:pStyle w:val="TextBody"/>
        <w:bidi w:val="0"/>
        <w:spacing w:before="180" w:after="0"/>
        <w:jc w:val="left"/>
        <w:rPr>
          <w:rFonts w:ascii="Arial" w:hAnsi="Arial"/>
          <w:sz w:val="19"/>
        </w:rPr>
      </w:pPr>
      <w:r>
        <w:rPr>
          <w:rFonts w:ascii="Arial" w:hAnsi="Arial"/>
          <w:sz w:val="19"/>
        </w:rPr>
        <w:t xml:space="preserve">Effective    2026, we entered into an amended and restated executive employment agreement with Dr. Koe in connection with his service as our Chief Technical Officer (A&amp;R Koe Agreement). Under the A&amp;R Koe Agreement, Dr. Koe’s annual base salary was set at $    , subject to review and adjustment from time to time. The A&amp;R Koe Agreement also provides that Dr. Koe is eligible to receive an annual discretionary bonus at a target amount of     % of his then-current base salary, based upon our and Dr. Koe’s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his employment, Dr. Koe will be entitled to receive severance benefits, as described below under “—Potential Payments Upon Termination or Change of Control.” </w:t>
      </w:r>
    </w:p>
    <w:p>
      <w:pPr>
        <w:pStyle w:val="TextBody"/>
        <w:bidi w:val="0"/>
        <w:spacing w:before="80" w:after="0"/>
        <w:jc w:val="left"/>
        <w:rPr>
          <w:rFonts w:ascii="Arial" w:hAnsi="Arial"/>
          <w:b/>
          <w:i/>
          <w:sz w:val="19"/>
        </w:rPr>
      </w:pPr>
      <w:r>
        <w:rPr>
          <w:rFonts w:ascii="Arial" w:hAnsi="Arial"/>
          <w:b/>
          <w:i/>
          <w:sz w:val="19"/>
        </w:rPr>
        <w:t xml:space="preserve">Kim-Hien Dao, D.O., Ph.D. </w:t>
      </w:r>
    </w:p>
    <w:p>
      <w:pPr>
        <w:pStyle w:val="TextBody"/>
        <w:bidi w:val="0"/>
        <w:spacing w:before="40" w:after="0"/>
        <w:jc w:val="left"/>
        <w:rPr>
          <w:rFonts w:ascii="Arial" w:hAnsi="Arial"/>
          <w:sz w:val="19"/>
        </w:rPr>
      </w:pPr>
      <w:r>
        <w:rPr>
          <w:rFonts w:ascii="Arial" w:hAnsi="Arial"/>
          <w:sz w:val="19"/>
        </w:rPr>
        <w:t xml:space="preserve">Effective November 2023, we entered into an offer letter, as amended in November 2024 and May 2026, with Dr. Dao in connection with her service as our Vice President, Clinical Development, which continues to govern her employment as our Chief Medical Officer (Dao Agreement). Under the Dao Agreement, Dr. Dao’s initial annual base salary was set at $340,000 (which has subsequently been increased to $432,116 effective January 1, 2026), subject to review and adjustment from time to time. The Dao Agreement also provides that Dr. Dao is eligible to receive an annual discretionary bonus at a target amount of 30% of her then-current base salary (which was subsequently increased to 40% of her then-current base salary effective beginning with her 2026 bonus opportunity), based on criteria to be established by our Chief Executive Officer and approved by our board of directors. </w:t>
      </w:r>
    </w:p>
    <w:p>
      <w:pPr>
        <w:pStyle w:val="TextBody"/>
        <w:bidi w:val="0"/>
        <w:spacing w:before="180" w:after="0"/>
        <w:jc w:val="left"/>
        <w:rPr>
          <w:rFonts w:ascii="Arial" w:hAnsi="Arial"/>
          <w:sz w:val="19"/>
        </w:rPr>
      </w:pPr>
      <w:r>
        <w:rPr>
          <w:rFonts w:ascii="Arial" w:hAnsi="Arial"/>
          <w:sz w:val="19"/>
        </w:rPr>
        <w:t xml:space="preserve">Effective     2026, we entered into an amended and restated executive employment agreement with Dr. Dao in connection with her service as our Chief Medical Officer (A&amp;R Dao Agreement). Under the A&amp;R Dao Agreement,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Dr. Dao’s annual base salary was set at $    , subject to review and adjustment from time to time. The A&amp;R Dao Agreement also provides that Dr. Dao is eligible to receive an annual discretionary bonus at a target amount of     % of her then-current base salary, based upon our and Dr. Dao’s achievement of objectives and milestones to be approved by our board of directors. </w:t>
      </w:r>
    </w:p>
    <w:p>
      <w:pPr>
        <w:pStyle w:val="TextBody"/>
        <w:bidi w:val="0"/>
        <w:spacing w:before="180" w:after="0"/>
        <w:jc w:val="left"/>
        <w:rPr>
          <w:rFonts w:ascii="Arial" w:hAnsi="Arial"/>
          <w:sz w:val="19"/>
        </w:rPr>
      </w:pPr>
      <w:r>
        <w:rPr>
          <w:rFonts w:ascii="Arial" w:hAnsi="Arial"/>
          <w:sz w:val="19"/>
        </w:rPr>
        <w:t xml:space="preserve">In the event of certain qualifying terminations of her employment, Dr. Dao will be entitled to receive severance benefits, as described below under the subsection titled “—Potential Payments Upon Termination or Change of Control.” </w:t>
      </w:r>
    </w:p>
    <w:p>
      <w:pPr>
        <w:pStyle w:val="TextBody"/>
        <w:bidi w:val="0"/>
        <w:spacing w:before="240" w:after="0"/>
        <w:jc w:val="left"/>
        <w:rPr>
          <w:rFonts w:ascii="Arial" w:hAnsi="Arial"/>
          <w:b/>
          <w:sz w:val="20"/>
        </w:rPr>
      </w:pPr>
      <w:r>
        <w:rPr>
          <w:rFonts w:ascii="Arial" w:hAnsi="Arial"/>
          <w:b/>
          <w:sz w:val="20"/>
        </w:rPr>
        <w:t xml:space="preserve">Potential Payments Upon Termination or Change of Control </w:t>
      </w:r>
    </w:p>
    <w:p>
      <w:pPr>
        <w:pStyle w:val="TextBody"/>
        <w:bidi w:val="0"/>
        <w:spacing w:before="80" w:after="0"/>
        <w:jc w:val="left"/>
        <w:rPr>
          <w:rFonts w:ascii="Arial" w:hAnsi="Arial"/>
          <w:sz w:val="19"/>
        </w:rPr>
      </w:pPr>
      <w:r>
        <w:rPr>
          <w:rFonts w:ascii="Arial" w:hAnsi="Arial"/>
          <w:sz w:val="19"/>
        </w:rPr>
        <w:t xml:space="preserve">Regardless of the manner in which a named executive officer’s service terminates, each named executive officer is entitled to receive amounts earned during the term of service, including unpaid base salary accrued through the termination date. In addition, as of December 31, 2025 each of our named executive officers was entitled to certain severance benefits under their respective employment agreements, as described below, subject to their execution of a general release of claims in the form prescribed by us. We expect to adopt a severance and change in control plan to be effective upon the closing of this offering which will supersede any severance benefits or entitlements provided in the employment agreements. </w:t>
      </w:r>
    </w:p>
    <w:p>
      <w:pPr>
        <w:pStyle w:val="TextBody"/>
        <w:bidi w:val="0"/>
        <w:spacing w:before="180" w:after="0"/>
        <w:jc w:val="left"/>
        <w:rPr>
          <w:rFonts w:ascii="Arial" w:hAnsi="Arial"/>
          <w:sz w:val="19"/>
        </w:rPr>
      </w:pPr>
      <w:r>
        <w:rPr>
          <w:rFonts w:ascii="Arial" w:hAnsi="Arial"/>
          <w:sz w:val="19"/>
        </w:rPr>
        <w:t xml:space="preserve">The Dong Agreement provides that, if Dr. Dong’s employment is terminated by us without “cause” or Dr. Dong resigns for “good reason,” she will be entitled to receive continued payment of her then-current base salary for nine (9) months and payment of continued group healthcare benefit premiums under COBRA for up to nine (9) months. In addition, if we consummate a change in control and Dr. Dong is subject to an involuntary termination within 12 months following such change in control, then 100% of the then-unvested shares subject to her outstanding options under the 2022 Plan will immediately vest and become exercisable, and 100% of the then-unvested Common Units of Electra LLC held by Dr. Dong will immediately vest. </w:t>
      </w:r>
    </w:p>
    <w:p>
      <w:pPr>
        <w:pStyle w:val="TextBody"/>
        <w:bidi w:val="0"/>
        <w:spacing w:before="180" w:after="0"/>
        <w:jc w:val="left"/>
        <w:rPr>
          <w:rFonts w:ascii="Arial" w:hAnsi="Arial"/>
          <w:sz w:val="19"/>
        </w:rPr>
      </w:pPr>
      <w:r>
        <w:rPr>
          <w:rFonts w:ascii="Arial" w:hAnsi="Arial"/>
          <w:sz w:val="19"/>
        </w:rPr>
        <w:t xml:space="preserve">The Koe Agreement provides that, if Dr. Koe’s employment is terminated by us without “cause” or Dr. Koe resigns for “good reason,” he will be entitled to receive continued payment of his then-current base salary for six (6) months and reimbursement of continued group healthcare benefit premiums under COBRA for up to six (6) months. In addition, if we consummate a change in control and Dr. Koe is subject to an involuntary termination within 12 months following such change in control, then the vesting and exercisability of all outstanding time-based stock options and other time-based equity awards covering our common stock held by Dr. Koe will accelerate in full, conditioned upon the actual consummation of such change in control. </w:t>
      </w:r>
    </w:p>
    <w:p>
      <w:pPr>
        <w:pStyle w:val="TextBody"/>
        <w:bidi w:val="0"/>
        <w:spacing w:before="180" w:after="0"/>
        <w:jc w:val="left"/>
        <w:rPr>
          <w:rFonts w:ascii="Arial" w:hAnsi="Arial"/>
          <w:sz w:val="19"/>
        </w:rPr>
      </w:pPr>
      <w:r>
        <w:rPr>
          <w:rFonts w:ascii="Arial" w:hAnsi="Arial"/>
          <w:sz w:val="19"/>
        </w:rPr>
        <w:t xml:space="preserve">The Dao Agreement provides that, if Dr. Dao’s employment is terminated by us without “cause” or Dr. Dao resigns for “good reason,” she will be entitled to receive continued payment of her then-current base salary for six (6) months and payment of continued group healthcare benefit premiums under COBRA for up to six (6) months. In addition, if we consummate a change in control and Dr. Dao is subject to an involuntary termination within 12 months following such change in control, then 100% of the then-unvested shares subject to her outstanding options under the 2022 Plan will immediately vest. </w:t>
      </w:r>
    </w:p>
    <w:p>
      <w:pPr>
        <w:pStyle w:val="TextBody"/>
        <w:bidi w:val="0"/>
        <w:spacing w:before="80" w:after="0"/>
        <w:jc w:val="left"/>
        <w:rPr>
          <w:rFonts w:ascii="Arial" w:hAnsi="Arial"/>
          <w:b/>
          <w:i/>
          <w:sz w:val="19"/>
        </w:rPr>
      </w:pPr>
      <w:r>
        <w:rPr>
          <w:rFonts w:ascii="Arial" w:hAnsi="Arial"/>
          <w:b/>
          <w:i/>
          <w:sz w:val="19"/>
        </w:rPr>
        <w:t xml:space="preserve">Severance Plan </w:t>
      </w:r>
    </w:p>
    <w:p>
      <w:pPr>
        <w:pStyle w:val="TextBody"/>
        <w:bidi w:val="0"/>
        <w:spacing w:before="40" w:after="0"/>
        <w:jc w:val="left"/>
        <w:rPr>
          <w:rFonts w:ascii="Arial" w:hAnsi="Arial"/>
          <w:sz w:val="19"/>
        </w:rPr>
      </w:pPr>
      <w:r>
        <w:rPr>
          <w:rFonts w:ascii="Arial" w:hAnsi="Arial"/>
          <w:sz w:val="19"/>
        </w:rPr>
        <w:t xml:space="preserve">We plan to adopt a severance and change in control plan to be effective upon the closing of this offering, pursuant to which our named executive officers and certain other employees will be eligible to receive severance benefits in the event their services are terminated either in connection with or outside of a change in control, which plan will supersede and replace all severance and change in control benefits provided to our named executive officers under their existing employment agreements. </w:t>
      </w:r>
    </w:p>
    <w:p>
      <w:pPr>
        <w:pStyle w:val="TextBody"/>
        <w:bidi w:val="0"/>
        <w:spacing w:before="240" w:after="0"/>
        <w:jc w:val="left"/>
        <w:rPr>
          <w:rFonts w:ascii="Arial" w:hAnsi="Arial"/>
          <w:b/>
          <w:sz w:val="20"/>
        </w:rPr>
      </w:pPr>
      <w:r>
        <w:rPr>
          <w:rFonts w:ascii="Arial" w:hAnsi="Arial"/>
          <w:b/>
          <w:sz w:val="20"/>
        </w:rPr>
        <w:t xml:space="preserve">Other Compensation and Benefits </w:t>
      </w:r>
    </w:p>
    <w:p>
      <w:pPr>
        <w:pStyle w:val="TextBody"/>
        <w:bidi w:val="0"/>
        <w:spacing w:before="80" w:after="0"/>
        <w:jc w:val="left"/>
        <w:rPr>
          <w:rFonts w:ascii="Arial" w:hAnsi="Arial"/>
          <w:sz w:val="19"/>
        </w:rPr>
      </w:pPr>
      <w:r>
        <w:rPr>
          <w:rFonts w:ascii="Arial" w:hAnsi="Arial"/>
          <w:sz w:val="19"/>
        </w:rPr>
        <w:t xml:space="preserve">All of our current named executive officers are eligible to participate in our employee benefit plans, which includes medical, dental, vision, and life insurance coverage, in each case on the same basis as all of our other employees. We pay a portion of the premiums for the medical, dental, and vision insurance, including for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401(k) Plan </w:t>
      </w:r>
    </w:p>
    <w:p>
      <w:pPr>
        <w:pStyle w:val="TextBody"/>
        <w:bidi w:val="0"/>
        <w:spacing w:before="80" w:after="0"/>
        <w:jc w:val="left"/>
        <w:rPr>
          <w:rFonts w:ascii="Arial" w:hAnsi="Arial"/>
          <w:sz w:val="19"/>
        </w:rPr>
      </w:pPr>
      <w:r>
        <w:rPr>
          <w:rFonts w:ascii="Arial" w:hAnsi="Arial"/>
          <w:sz w:val="19"/>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(Code). Contributions are allocated to each participant’s individual account and are then invested in selected investment alternatives according to the participants’ directions. The 401(k) plan provides for discretionary matching contributions; we do not currently provide a match under the 401(k) plan. </w:t>
      </w:r>
    </w:p>
    <w:p>
      <w:pPr>
        <w:pStyle w:val="TextBody"/>
        <w:bidi w:val="0"/>
        <w:spacing w:before="240" w:after="0"/>
        <w:jc w:val="left"/>
        <w:rPr>
          <w:rFonts w:ascii="Arial" w:hAnsi="Arial"/>
          <w:b/>
          <w:sz w:val="20"/>
        </w:rPr>
      </w:pPr>
      <w:r>
        <w:rPr>
          <w:rFonts w:ascii="Arial" w:hAnsi="Arial"/>
          <w:b/>
          <w:sz w:val="20"/>
        </w:rPr>
        <w:t xml:space="preserve">Clawback Policy </w:t>
      </w:r>
    </w:p>
    <w:p>
      <w:pPr>
        <w:pStyle w:val="TextBody"/>
        <w:bidi w:val="0"/>
        <w:spacing w:before="80" w:after="0"/>
        <w:jc w:val="left"/>
        <w:rPr>
          <w:rFonts w:ascii="Arial" w:hAnsi="Arial"/>
          <w:sz w:val="19"/>
        </w:rPr>
      </w:pPr>
      <w:r>
        <w:rPr>
          <w:rFonts w:ascii="Arial" w:hAnsi="Arial"/>
          <w:sz w:val="19"/>
        </w:rPr>
        <w:t xml:space="preserve">In connection with this offering, we intend to adopt a compensation recovery policy that is compliant with the Nasdaq Listing Rules, as required by the Dodd-Frank Act, to be effective upon the consummation of this offering. </w:t>
      </w:r>
    </w:p>
    <w:p>
      <w:pPr>
        <w:pStyle w:val="TextBody"/>
        <w:bidi w:val="0"/>
        <w:spacing w:before="240" w:after="0"/>
        <w:jc w:val="left"/>
        <w:rPr>
          <w:rFonts w:ascii="Arial" w:hAnsi="Arial"/>
          <w:b/>
          <w:sz w:val="20"/>
        </w:rPr>
      </w:pPr>
      <w:r>
        <w:rPr>
          <w:rFonts w:ascii="Arial" w:hAnsi="Arial"/>
          <w:b/>
          <w:sz w:val="20"/>
        </w:rPr>
        <w:t xml:space="preserve">Equity Benefit Plans </w:t>
      </w:r>
    </w:p>
    <w:p>
      <w:pPr>
        <w:pStyle w:val="TextBody"/>
        <w:bidi w:val="0"/>
        <w:spacing w:before="80" w:after="0"/>
        <w:jc w:val="left"/>
        <w:rPr>
          <w:rFonts w:ascii="Arial" w:hAnsi="Arial"/>
          <w:sz w:val="19"/>
        </w:rPr>
      </w:pPr>
      <w:r>
        <w:rPr>
          <w:rFonts w:ascii="Arial" w:hAnsi="Arial"/>
          <w:sz w:val="19"/>
        </w:rPr>
        <w:t xml:space="preserve">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stock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 </w:t>
      </w:r>
    </w:p>
    <w:p>
      <w:pPr>
        <w:pStyle w:val="TextBody"/>
        <w:bidi w:val="0"/>
        <w:spacing w:before="80" w:after="0"/>
        <w:jc w:val="left"/>
        <w:rPr>
          <w:rFonts w:ascii="Arial" w:hAnsi="Arial"/>
          <w:b/>
          <w:i/>
          <w:sz w:val="19"/>
        </w:rPr>
      </w:pPr>
      <w:r>
        <w:rPr>
          <w:rFonts w:ascii="Arial" w:hAnsi="Arial"/>
          <w:b/>
          <w:i/>
          <w:sz w:val="19"/>
        </w:rPr>
        <w:t xml:space="preserve">2026 Equity Incentive Plan </w:t>
      </w:r>
    </w:p>
    <w:p>
      <w:pPr>
        <w:pStyle w:val="TextBody"/>
        <w:bidi w:val="0"/>
        <w:spacing w:before="40" w:after="0"/>
        <w:jc w:val="left"/>
        <w:rPr>
          <w:rFonts w:ascii="Arial" w:hAnsi="Arial"/>
          <w:sz w:val="19"/>
        </w:rPr>
      </w:pPr>
      <w:r>
        <w:rPr>
          <w:rFonts w:ascii="Arial" w:hAnsi="Arial"/>
          <w:sz w:val="19"/>
        </w:rPr>
        <w:t xml:space="preserve">Our board of directors adopted our 2026 Plan in     and our stockholders approved our 2026 Plan in    . Our 2026 Plan is a successor to our 2022 Plan and will become effective on the execution of the underwriting agreement related to this offering. Once our 2026 Plan becomes effective, no further grants will be made under our 2022 Plan. </w:t>
      </w:r>
    </w:p>
    <w:p>
      <w:pPr>
        <w:pStyle w:val="TextBody"/>
        <w:bidi w:val="0"/>
        <w:spacing w:before="180" w:after="0"/>
        <w:jc w:val="left"/>
        <w:rPr>
          <w:rFonts w:ascii="Arial" w:hAnsi="Arial"/>
          <w:sz w:val="19"/>
        </w:rPr>
      </w:pPr>
      <w:r>
        <w:rPr>
          <w:rFonts w:ascii="Arial" w:hAnsi="Arial"/>
          <w:i/>
          <w:sz w:val="19"/>
        </w:rPr>
        <w:t>Types of Awards</w:t>
      </w:r>
      <w:r>
        <w:rPr>
          <w:rFonts w:ascii="Arial" w:hAnsi="Arial"/>
          <w:sz w:val="19"/>
        </w:rPr>
        <w:t xml:space="preserve">. Our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our affiliates. </w:t>
      </w:r>
    </w:p>
    <w:p>
      <w:pPr>
        <w:pStyle w:val="TextBody"/>
        <w:bidi w:val="0"/>
        <w:spacing w:before="180" w:after="0"/>
        <w:jc w:val="left"/>
        <w:rPr>
          <w:rFonts w:ascii="Arial" w:hAnsi="Arial"/>
          <w:sz w:val="19"/>
        </w:rPr>
      </w:pPr>
      <w:r>
        <w:rPr>
          <w:rFonts w:ascii="Arial" w:hAnsi="Arial"/>
          <w:i/>
          <w:sz w:val="19"/>
        </w:rPr>
        <w:t>Authorized Shares</w:t>
      </w:r>
      <w:r>
        <w:rPr>
          <w:rFonts w:ascii="Arial" w:hAnsi="Arial"/>
          <w:sz w:val="19"/>
        </w:rPr>
        <w:t xml:space="preserve">. Initially, the maximum number of shares of our common stock that may be issued under our 2026 Plan after it becomes effective will be     shares, which is the sum of: (i)     new shares, plus (ii)     shares available for issuance under the 2022 Plan as of the effective date of the 2026 Plan, plus (iii) up to     shares subject to outstanding awards under the 2022 Plan that, following the effective date of the 2026 Plan, are not issued because such awards expire, are settled in cash, or are forfeited, or such shares are withheld to satisfy the exercise price thereof or to satisfy tax withholding obligations. In addition, the number of shares of our common stock reserved for issuance under our 2026 Plan will automatically increase on January 1 of each calendar year, starting on January 1, 2027 (assuming the 2026 Plan becomes effective in 2026) through January 1, 2036, in an amount equal to     % of the sum, as of the last day of the calendar month before the date of each automatic increase, of (i) the number of shares of our capital stock outstanding, (ii) the number of shares issuable upon the exercise of any outstanding prefunded warrants and (iii) the number of shares of capital stock issuable upon conversion of any outstanding shares of preferred stock, or a lesser number of shares determined by our board of directors. The maximum number of shares of our common stock that may be issued on the exercise of ISOs under our 2026 Plan is     shares. </w:t>
      </w:r>
    </w:p>
    <w:p>
      <w:pPr>
        <w:pStyle w:val="TextBody"/>
        <w:bidi w:val="0"/>
        <w:spacing w:before="180" w:after="0"/>
        <w:jc w:val="left"/>
        <w:rPr>
          <w:rFonts w:ascii="Arial" w:hAnsi="Arial"/>
          <w:sz w:val="19"/>
        </w:rPr>
      </w:pPr>
      <w:r>
        <w:rPr>
          <w:rFonts w:ascii="Arial" w:hAnsi="Arial"/>
          <w:sz w:val="19"/>
        </w:rPr>
        <w:t xml:space="preserve">Shares subject to stock awards granted under our 2026 Plan that expire or terminate without being exercised in full, or that are paid out in cash rather than in shares, do not reduce the number of shares available for issuance under our 2026 Plan. Additionally, shares become available for future grant under our 2026 Plan if they were issued under stock awards under our 2026 Plan and we repurchase them or they are forfeited. This includes shares used to pay the exercise price of a stock award or to satisfy the tax withholding obligations related to a stock award.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i/>
          <w:sz w:val="19"/>
        </w:rPr>
        <w:t>Plan Administration</w:t>
      </w:r>
      <w:r>
        <w:rPr>
          <w:rFonts w:ascii="Arial" w:hAnsi="Arial"/>
          <w:sz w:val="19"/>
        </w:rPr>
        <w:t xml:space="preserve">. Our board of directors, or a duly authorized committee of our board of directors (referred to herein as the plan administrator), will administer our 2026 Plan. Our board of directors may also delegate to one or more persons or bodies the authority to do one or more of the following (i) designate recipients (other than officers) of specified stock awards provided that no person or body may be delegated authority to grant a stock award to themselves; (ii) determine the number of shares subject to such stock award; and (iii) determine the terms of such stock awards. Under our 2026 Plan, our board of directors has the authority to determine and amend the terms of awards and underlying agreements, including recipients, the exercise, purchase or strike price of stock awards, if any, the number of shares subject to each stock award, the vesting schedule applicable to the awards, together with any vesting acceleration and the form of consideration, if any, payable on exercise or settlement of the award. </w:t>
      </w:r>
    </w:p>
    <w:p>
      <w:pPr>
        <w:pStyle w:val="TextBody"/>
        <w:bidi w:val="0"/>
        <w:spacing w:before="180" w:after="0"/>
        <w:jc w:val="left"/>
        <w:rPr>
          <w:rFonts w:ascii="Arial" w:hAnsi="Arial"/>
          <w:sz w:val="19"/>
        </w:rPr>
      </w:pPr>
      <w:r>
        <w:rPr>
          <w:rFonts w:ascii="Arial" w:hAnsi="Arial"/>
          <w:sz w:val="19"/>
        </w:rPr>
        <w:t xml:space="preserve">In addition, subject to the terms of the 2026 Plan, the administrator also has the power to modify outstanding awards under our 2026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180" w:after="0"/>
        <w:jc w:val="left"/>
        <w:rPr>
          <w:rFonts w:ascii="Arial" w:hAnsi="Arial"/>
          <w:sz w:val="19"/>
        </w:rPr>
      </w:pPr>
      <w:r>
        <w:rPr>
          <w:rFonts w:ascii="Arial" w:hAnsi="Arial"/>
          <w:i/>
          <w:sz w:val="19"/>
        </w:rPr>
        <w:t>Stock Options</w:t>
      </w:r>
      <w:r>
        <w:rPr>
          <w:rFonts w:ascii="Arial" w:hAnsi="Arial"/>
          <w:sz w:val="19"/>
        </w:rPr>
        <w:t xml:space="preserve">. ISOs and NSOs are granted under stock option agreements adopted by the plan administrator. The plan administrator determines the exercise price for stock options, within the terms and conditions of the 2026 Plan, provided that the exercise price of a stock option generally cannot be less than 100% of the fair market value of our common stock on the date of grant. Options granted under the 2026 Plan vest at the rate specified in the stock option agreement as determined by the plan administrator. </w:t>
      </w:r>
    </w:p>
    <w:p>
      <w:pPr>
        <w:pStyle w:val="TextBody"/>
        <w:bidi w:val="0"/>
        <w:spacing w:before="180" w:after="0"/>
        <w:jc w:val="left"/>
        <w:rPr>
          <w:rFonts w:ascii="Arial" w:hAnsi="Arial"/>
          <w:sz w:val="19"/>
        </w:rPr>
      </w:pPr>
      <w:r>
        <w:rPr>
          <w:rFonts w:ascii="Arial" w:hAnsi="Arial"/>
          <w:i/>
          <w:sz w:val="19"/>
        </w:rPr>
        <w:t>Tax Limitations on ISOs</w:t>
      </w:r>
      <w:r>
        <w:rPr>
          <w:rFonts w:ascii="Arial" w:hAnsi="Arial"/>
          <w:sz w:val="19"/>
        </w:rPr>
        <w:t xml:space="preserve">. The aggregate fair market value, determined at the time of grant, of our common stock with respect to ISOs that are 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180" w:after="0"/>
        <w:jc w:val="left"/>
        <w:rPr>
          <w:rFonts w:ascii="Arial" w:hAnsi="Arial"/>
          <w:sz w:val="19"/>
        </w:rPr>
      </w:pPr>
      <w:r>
        <w:rPr>
          <w:rFonts w:ascii="Arial" w:hAnsi="Arial"/>
          <w:i/>
          <w:sz w:val="19"/>
        </w:rPr>
        <w:t>Restricted Stock Unit Awards</w:t>
      </w:r>
      <w:r>
        <w:rPr>
          <w:rFonts w:ascii="Arial" w:hAnsi="Arial"/>
          <w:sz w:val="19"/>
        </w:rPr>
        <w:t xml:space="preserve">. Restricted stock units are granted under restricted stock unit award agreements adopted by the plan administrator. 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180" w:after="0"/>
        <w:jc w:val="left"/>
        <w:rPr>
          <w:rFonts w:ascii="Arial" w:hAnsi="Arial"/>
          <w:sz w:val="19"/>
        </w:rPr>
      </w:pPr>
      <w:r>
        <w:rPr>
          <w:rFonts w:ascii="Arial" w:hAnsi="Arial"/>
          <w:i/>
          <w:sz w:val="19"/>
        </w:rPr>
        <w:t>Restricted Stock Awards</w:t>
      </w:r>
      <w:r>
        <w:rPr>
          <w:rFonts w:ascii="Arial" w:hAnsi="Arial"/>
          <w:sz w:val="19"/>
        </w:rPr>
        <w:t xml:space="preserve">. Restricted stock awards are granted under restricted stock award agreements adopted by the plan administrator. A 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80" w:after="0"/>
        <w:jc w:val="left"/>
        <w:rPr>
          <w:rFonts w:ascii="Arial" w:hAnsi="Arial"/>
          <w:sz w:val="19"/>
        </w:rPr>
      </w:pPr>
      <w:r>
        <w:rPr>
          <w:rFonts w:ascii="Arial" w:hAnsi="Arial"/>
          <w:i/>
          <w:sz w:val="19"/>
        </w:rPr>
        <w:t>Stock Appreciation Rights</w:t>
      </w:r>
      <w:r>
        <w:rPr>
          <w:rFonts w:ascii="Arial" w:hAnsi="Arial"/>
          <w:sz w:val="19"/>
        </w:rPr>
        <w:t xml:space="preserve">. Stock appreciation rights are granted under stock appreciation grant agreements adopted by the plan administrator. The plan administrator determines the purchase price or strike price for a stock appreciation right, which generally cannot be less than 100% of the fair market value of our common stock on the date of grant. A stock appreciation right granted under the 2026 Plan vests at the rate specified in the stock appreciation right agreement as determined by the plan administrator. </w:t>
      </w:r>
    </w:p>
    <w:p>
      <w:pPr>
        <w:pStyle w:val="TextBody"/>
        <w:bidi w:val="0"/>
        <w:spacing w:before="180" w:after="0"/>
        <w:jc w:val="left"/>
        <w:rPr>
          <w:rFonts w:ascii="Arial" w:hAnsi="Arial"/>
          <w:sz w:val="19"/>
        </w:rPr>
      </w:pPr>
      <w:r>
        <w:rPr>
          <w:rFonts w:ascii="Arial" w:hAnsi="Arial"/>
          <w:i/>
          <w:sz w:val="19"/>
        </w:rPr>
        <w:t>Performance Awards</w:t>
      </w:r>
      <w:r>
        <w:rPr>
          <w:rFonts w:ascii="Arial" w:hAnsi="Arial"/>
          <w:sz w:val="19"/>
        </w:rPr>
        <w:t xml:space="preserve">. The 2026 Plan permits the grant of performance-based stock and cash awards. The plan administrator may structure awards so that the shares of our stock, cash, or other property will be issued or paid only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following the achievement of certain pre-established performance goals during a designated performance period. The performance criteria that will be used to establish such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our products; supply chain achievements; co-development, co-marketing, profit sharing, joint venture or other similar arrangements; individual performance goals; corporate development and planning goals; and other measures of performance selected by the plan administrator. </w:t>
      </w:r>
    </w:p>
    <w:p>
      <w:pPr>
        <w:pStyle w:val="TextBody"/>
        <w:bidi w:val="0"/>
        <w:spacing w:before="180" w:after="0"/>
        <w:jc w:val="left"/>
        <w:rPr>
          <w:rFonts w:ascii="Arial" w:hAnsi="Arial"/>
          <w:sz w:val="19"/>
        </w:rPr>
      </w:pPr>
      <w:r>
        <w:rPr>
          <w:rFonts w:ascii="Arial" w:hAnsi="Arial"/>
          <w:sz w:val="19"/>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 </w:t>
      </w:r>
    </w:p>
    <w:p>
      <w:pPr>
        <w:pStyle w:val="TextBody"/>
        <w:bidi w:val="0"/>
        <w:spacing w:before="180" w:after="0"/>
        <w:jc w:val="left"/>
        <w:rPr>
          <w:rFonts w:ascii="Arial" w:hAnsi="Arial"/>
          <w:sz w:val="19"/>
        </w:rPr>
      </w:pPr>
      <w:r>
        <w:rPr>
          <w:rFonts w:ascii="Arial" w:hAnsi="Arial"/>
          <w:i/>
          <w:sz w:val="19"/>
        </w:rPr>
        <w:t>Other Stock Awards</w:t>
      </w:r>
      <w:r>
        <w:rPr>
          <w:rFonts w:ascii="Arial" w:hAnsi="Arial"/>
          <w:sz w:val="19"/>
        </w:rPr>
        <w:t xml:space="preserve">. The plan administrator may grant other awards based in whole or in part by reference to our common stock. The plan administrator will set the number of shares under the stock award and all other terms and conditions of such awards. </w:t>
      </w:r>
    </w:p>
    <w:p>
      <w:pPr>
        <w:pStyle w:val="TextBody"/>
        <w:bidi w:val="0"/>
        <w:spacing w:before="180" w:after="0"/>
        <w:jc w:val="left"/>
        <w:rPr>
          <w:rFonts w:ascii="Arial" w:hAnsi="Arial"/>
          <w:sz w:val="19"/>
        </w:rPr>
      </w:pPr>
      <w:r>
        <w:rPr>
          <w:rFonts w:ascii="Arial" w:hAnsi="Arial"/>
          <w:i/>
          <w:sz w:val="19"/>
        </w:rPr>
        <w:t>Non-employee Director Compensation Limit</w:t>
      </w:r>
      <w:r>
        <w:rPr>
          <w:rFonts w:ascii="Arial" w:hAnsi="Arial"/>
          <w:sz w:val="19"/>
        </w:rPr>
        <w:t xml:space="preserve">. The aggregate value of all compensation granted or paid to any non-employee director with respect to any fiscal year following the year in which the underwriting agreement for this offering is executed, including stock awards granted and cash fees paid by us to such non-employee director, will not exceed $     in total value, or in the event such non-employee director is first appointed or elected to the board of directors during such fiscal year, $     in total value (in each case, calculating the value of any such stock awards based on the grant date fair value of such stock awards for financial reporting purposes). </w:t>
      </w:r>
    </w:p>
    <w:p>
      <w:pPr>
        <w:pStyle w:val="TextBody"/>
        <w:bidi w:val="0"/>
        <w:spacing w:before="180" w:after="0"/>
        <w:jc w:val="left"/>
        <w:rPr>
          <w:rFonts w:ascii="Arial" w:hAnsi="Arial"/>
          <w:sz w:val="19"/>
        </w:rPr>
      </w:pPr>
      <w:r>
        <w:rPr>
          <w:rFonts w:ascii="Arial" w:hAnsi="Arial"/>
          <w:i/>
          <w:sz w:val="19"/>
        </w:rPr>
        <w:t>Changes to Capital Structure</w:t>
      </w:r>
      <w:r>
        <w:rPr>
          <w:rFonts w:ascii="Arial" w:hAnsi="Arial"/>
          <w:sz w:val="19"/>
        </w:rPr>
        <w:t xml:space="preserve">. In the event there is a specified type of change in our capital structure, such as a stock split, reverse stock split, or recapitalization, appropriate adjustments will be made to (i) the class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The following applies to stock awards under the 2026 Plan in the event of a corporate transaction, unless otherwise provided in a participant’s stock award agreement or other written agreement with us or one of our affiliates or unless otherwise expressly provided by the plan administrator at the time of grant. </w:t>
      </w:r>
    </w:p>
    <w:p>
      <w:pPr>
        <w:pStyle w:val="TextBody"/>
        <w:bidi w:val="0"/>
        <w:spacing w:before="180" w:after="0"/>
        <w:jc w:val="left"/>
        <w:rPr>
          <w:rFonts w:ascii="Arial" w:hAnsi="Arial"/>
          <w:sz w:val="19"/>
        </w:rPr>
      </w:pPr>
      <w:r>
        <w:rPr>
          <w:rFonts w:ascii="Arial" w:hAnsi="Arial"/>
          <w:sz w:val="19"/>
        </w:rPr>
        <w:t xml:space="preserve">In the event of a corporate transaction (as defined in the 2026 Plan), any stock awards outstanding under the 2026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w:t>
      </w:r>
    </w:p>
    <w:p>
      <w:pPr>
        <w:pStyle w:val="TextBody"/>
        <w:bidi w:val="0"/>
        <w:spacing w:before="180" w:after="0"/>
        <w:jc w:val="left"/>
        <w:rPr>
          <w:rFonts w:ascii="Arial" w:hAnsi="Arial"/>
          <w:sz w:val="19"/>
        </w:rPr>
      </w:pPr>
      <w:r>
        <w:rPr>
          <w:rFonts w:ascii="Arial" w:hAnsi="Arial"/>
          <w:sz w:val="19"/>
        </w:rPr>
        <w:t xml:space="preserve">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180" w:after="0"/>
        <w:jc w:val="left"/>
        <w:rPr>
          <w:rFonts w:ascii="Arial" w:hAnsi="Arial"/>
          <w:sz w:val="19"/>
        </w:rPr>
      </w:pPr>
      <w:r>
        <w:rPr>
          <w:rFonts w:ascii="Arial" w:hAnsi="Arial"/>
          <w:sz w:val="19"/>
        </w:rPr>
        <w:t xml:space="preserve">Under our 2026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w:t>
      </w:r>
    </w:p>
    <w:p>
      <w:pPr>
        <w:pStyle w:val="TextBody"/>
        <w:bidi w:val="0"/>
        <w:spacing w:before="180" w:after="0"/>
        <w:jc w:val="left"/>
        <w:rPr>
          <w:rFonts w:ascii="Arial" w:hAnsi="Arial"/>
          <w:sz w:val="19"/>
        </w:rPr>
      </w:pPr>
      <w:r>
        <w:rPr>
          <w:rFonts w:ascii="Arial" w:hAnsi="Arial"/>
          <w:i/>
          <w:sz w:val="19"/>
        </w:rPr>
        <w:t>Change in Control</w:t>
      </w:r>
      <w:r>
        <w:rPr>
          <w:rFonts w:ascii="Arial" w:hAnsi="Arial"/>
          <w:sz w:val="19"/>
        </w:rPr>
        <w:t xml:space="preserve">. In the event of a change in control, as defined under our 2026 Plan, awards granted under our 2026 Plan will not receive automatic acceleration of vesting and exercisability, although this treatment may be provided for in an award agreement. </w:t>
      </w:r>
    </w:p>
    <w:p>
      <w:pPr>
        <w:pStyle w:val="TextBody"/>
        <w:bidi w:val="0"/>
        <w:spacing w:before="180" w:after="0"/>
        <w:jc w:val="left"/>
        <w:rPr>
          <w:rFonts w:ascii="Arial" w:hAnsi="Arial"/>
          <w:sz w:val="19"/>
        </w:rPr>
      </w:pPr>
      <w:r>
        <w:rPr>
          <w:rFonts w:ascii="Arial" w:hAnsi="Arial"/>
          <w:sz w:val="19"/>
        </w:rPr>
        <w:t xml:space="preserve">Under the 2026 Plan, a change in control is defined to include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(iii) a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180" w:after="0"/>
        <w:jc w:val="left"/>
        <w:rPr>
          <w:rFonts w:ascii="Arial" w:hAnsi="Arial"/>
          <w:sz w:val="19"/>
        </w:rPr>
      </w:pPr>
      <w:r>
        <w:rPr>
          <w:rFonts w:ascii="Arial" w:hAnsi="Arial"/>
          <w:i/>
          <w:sz w:val="19"/>
        </w:rPr>
        <w:t>Clawback</w:t>
      </w:r>
      <w:r>
        <w:rPr>
          <w:rFonts w:ascii="Arial" w:hAnsi="Arial"/>
          <w:sz w:val="19"/>
        </w:rPr>
        <w:t xml:space="preserve">. All awards granted under the 2026 Plan will be subject to recoupment in accordance with any clawback policy that we are required to adopt pursuant to the listing standards of any national securities exchange or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 </w:t>
      </w:r>
    </w:p>
    <w:p>
      <w:pPr>
        <w:pStyle w:val="TextBody"/>
        <w:bidi w:val="0"/>
        <w:spacing w:before="180" w:after="0"/>
        <w:jc w:val="left"/>
        <w:rPr>
          <w:rFonts w:ascii="Arial" w:hAnsi="Arial"/>
          <w:sz w:val="19"/>
        </w:rPr>
      </w:pPr>
      <w:r>
        <w:rPr>
          <w:rFonts w:ascii="Arial" w:hAnsi="Arial"/>
          <w:i/>
          <w:sz w:val="19"/>
        </w:rPr>
        <w:t>Transferability</w:t>
      </w:r>
      <w:r>
        <w:rPr>
          <w:rFonts w:ascii="Arial" w:hAnsi="Arial"/>
          <w:sz w:val="19"/>
        </w:rPr>
        <w:t xml:space="preserve">. A participant may not transfer stock awards under our 2026 Plan other than by will, the laws of descent and distribution, or as otherwise provided under our 2026 Plan.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Our board of directors has the authority to amend, suspend, or terminate our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2026 Plan. No stock awards may be granted under our 2026 Plan while it is suspended or after it is terminated. </w:t>
      </w:r>
    </w:p>
    <w:p>
      <w:pPr>
        <w:pStyle w:val="TextBody"/>
        <w:bidi w:val="0"/>
        <w:spacing w:before="80" w:after="0"/>
        <w:jc w:val="left"/>
        <w:rPr>
          <w:rFonts w:ascii="Arial" w:hAnsi="Arial"/>
          <w:b/>
          <w:i/>
          <w:sz w:val="19"/>
        </w:rPr>
      </w:pPr>
      <w:r>
        <w:rPr>
          <w:rFonts w:ascii="Arial" w:hAnsi="Arial"/>
          <w:b/>
          <w:i/>
          <w:sz w:val="19"/>
        </w:rPr>
        <w:t xml:space="preserve">2026 Employee Stock Purchase Plan </w:t>
      </w:r>
    </w:p>
    <w:p>
      <w:pPr>
        <w:pStyle w:val="TextBody"/>
        <w:bidi w:val="0"/>
        <w:spacing w:before="40" w:after="0"/>
        <w:jc w:val="left"/>
        <w:rPr>
          <w:rFonts w:ascii="Arial" w:hAnsi="Arial"/>
          <w:sz w:val="19"/>
        </w:rPr>
      </w:pPr>
      <w:r>
        <w:rPr>
          <w:rFonts w:ascii="Arial" w:hAnsi="Arial"/>
          <w:sz w:val="19"/>
        </w:rPr>
        <w:t xml:space="preserve">Our board of directors adopted our ESPP in     and our stockholders approved our ESPP in    . The ESPP will become effective upon the execution of the underwriting agreement for this offering. The purpose of the ESPP is to secure and retain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shares of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 </w:t>
      </w:r>
    </w:p>
    <w:p>
      <w:pPr>
        <w:pStyle w:val="TextBody"/>
        <w:bidi w:val="0"/>
        <w:spacing w:before="180" w:after="0"/>
        <w:jc w:val="left"/>
        <w:rPr>
          <w:rFonts w:ascii="Arial" w:hAnsi="Arial"/>
          <w:sz w:val="19"/>
        </w:rPr>
      </w:pPr>
      <w:r>
        <w:rPr>
          <w:rFonts w:ascii="Arial" w:hAnsi="Arial"/>
          <w:i/>
          <w:sz w:val="19"/>
        </w:rPr>
        <w:t>Share Reserve</w:t>
      </w:r>
      <w:r>
        <w:rPr>
          <w:rFonts w:ascii="Arial" w:hAnsi="Arial"/>
          <w:sz w:val="19"/>
        </w:rPr>
        <w:t xml:space="preserve">. Following this offering, the ESPP authorizes the issuance of     shares of our common stock under purchase rights granted to our employees or to employees of any of our designated affiliates. The number of shares of our common stock reserved for issuance will automatically increase on January 1 of each calendar year, beginning on January 1, 2027 (assuming the ESPP becomes effective in 2026) through January 1, 2036, by the lesser of (a)     % of the sum, as of the last day of the calendar month before the date of the automatic increase, of (i) the number of shares of our capital stock outstanding, (ii) the number of shares of capital stock issuable upon the exercise of any outstanding prefunded warrants and (iii) the number of shares issuable upon conversion of any outstanding shares of preferred stock; and (b)     shares; provided that before the date of any such increase, our board of directors may determine that such increase will be less than the amount set forth in clauses (a) and (b). As of the date hereof, no shares of our common stock have been purchased under the ESPP. </w:t>
      </w:r>
    </w:p>
    <w:p>
      <w:pPr>
        <w:pStyle w:val="TextBody"/>
        <w:bidi w:val="0"/>
        <w:spacing w:before="180" w:after="0"/>
        <w:jc w:val="left"/>
        <w:rPr>
          <w:rFonts w:ascii="Arial" w:hAnsi="Arial"/>
          <w:sz w:val="19"/>
        </w:rPr>
      </w:pPr>
      <w:r>
        <w:rPr>
          <w:rFonts w:ascii="Arial" w:hAnsi="Arial"/>
          <w:i/>
          <w:sz w:val="19"/>
        </w:rPr>
        <w:t>Administration</w:t>
      </w:r>
      <w:r>
        <w:rPr>
          <w:rFonts w:ascii="Arial" w:hAnsi="Arial"/>
          <w:sz w:val="19"/>
        </w:rPr>
        <w:t xml:space="preserve">. Our board of directors, or a duly authorized committee thereof, will administer our ESPP. Our board of directors may delegate concurrent authority to administer the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 </w:t>
      </w:r>
    </w:p>
    <w:p>
      <w:pPr>
        <w:pStyle w:val="TextBody"/>
        <w:bidi w:val="0"/>
        <w:spacing w:before="180" w:after="0"/>
        <w:jc w:val="left"/>
        <w:rPr>
          <w:rFonts w:ascii="Arial" w:hAnsi="Arial"/>
          <w:sz w:val="19"/>
        </w:rPr>
      </w:pPr>
      <w:r>
        <w:rPr>
          <w:rFonts w:ascii="Arial" w:hAnsi="Arial"/>
          <w:i/>
          <w:sz w:val="19"/>
        </w:rPr>
        <w:t>Payroll Deductions</w:t>
      </w:r>
      <w:r>
        <w:rPr>
          <w:rFonts w:ascii="Arial" w:hAnsi="Arial"/>
          <w:sz w:val="19"/>
        </w:rPr>
        <w:t xml:space="preserve">. Generally, all regular employees, including executive officers, employed by us or by any of our designated affiliates, may 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that is at least the lesser of (i) 85% of the fair market value of a share of our common stock on the first date of an offering; or (ii) 85% of the fair market value of a share of our common stock on the date of purchase. </w:t>
      </w:r>
    </w:p>
    <w:p>
      <w:pPr>
        <w:pStyle w:val="TextBody"/>
        <w:bidi w:val="0"/>
        <w:spacing w:before="180" w:after="0"/>
        <w:jc w:val="left"/>
        <w:rPr>
          <w:rFonts w:ascii="Arial" w:hAnsi="Arial"/>
          <w:sz w:val="19"/>
        </w:rPr>
      </w:pPr>
      <w:r>
        <w:rPr>
          <w:rFonts w:ascii="Arial" w:hAnsi="Arial"/>
          <w:i/>
          <w:sz w:val="19"/>
        </w:rPr>
        <w:t>Limitations</w:t>
      </w:r>
      <w:r>
        <w:rPr>
          <w:rFonts w:ascii="Arial" w:hAnsi="Arial"/>
          <w:sz w:val="19"/>
        </w:rPr>
        <w:t xml:space="preserve">. Employees may have to satisfy one or more of the following service requirements before participating in the ESPP, as determined by our board of directors, including: (i) customary employment with us or one of our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affiliates for more than 20 hours per week and more than five months per calendar year; or (ii) continuous employment with us or one of our affiliates for a minimum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 </w:t>
      </w:r>
    </w:p>
    <w:p>
      <w:pPr>
        <w:pStyle w:val="TextBody"/>
        <w:bidi w:val="0"/>
        <w:spacing w:before="180" w:after="0"/>
        <w:jc w:val="left"/>
        <w:rPr>
          <w:rFonts w:ascii="Arial" w:hAnsi="Arial"/>
          <w:sz w:val="19"/>
        </w:rPr>
      </w:pPr>
      <w:r>
        <w:rPr>
          <w:rFonts w:ascii="Arial" w:hAnsi="Arial"/>
          <w:i/>
          <w:sz w:val="19"/>
        </w:rPr>
        <w:t>Changes to Capital Structure</w:t>
      </w:r>
      <w:r>
        <w:rPr>
          <w:rFonts w:ascii="Arial" w:hAnsi="Arial"/>
          <w:sz w:val="19"/>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of certain significant corporate transactions (as defined in the ESPP), including: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 </w:t>
      </w:r>
    </w:p>
    <w:p>
      <w:pPr>
        <w:pStyle w:val="TextBody"/>
        <w:bidi w:val="0"/>
        <w:spacing w:before="180" w:after="0"/>
        <w:jc w:val="left"/>
        <w:rPr>
          <w:rFonts w:ascii="Arial" w:hAnsi="Arial"/>
          <w:sz w:val="19"/>
        </w:rPr>
      </w:pPr>
      <w:r>
        <w:rPr>
          <w:rFonts w:ascii="Arial" w:hAnsi="Arial"/>
          <w:i/>
          <w:sz w:val="19"/>
        </w:rPr>
        <w:t>ESPP Amendment or Termination</w:t>
      </w:r>
      <w:r>
        <w:rPr>
          <w:rFonts w:ascii="Arial" w:hAnsi="Arial"/>
          <w:sz w:val="19"/>
        </w:rPr>
        <w:t xml:space="preserve">. Our board of directors has the authority to amend or terminate our ESPP, provided that except in certain circumstances such amendment or termination may not materially impair any outstanding purchase rights without the holder’s consent. We will obtain stockholder approval of any amendment to our ESPP as required by applicable law or listing requirements. </w:t>
      </w:r>
    </w:p>
    <w:p>
      <w:pPr>
        <w:pStyle w:val="TextBody"/>
        <w:bidi w:val="0"/>
        <w:spacing w:before="80" w:after="0"/>
        <w:jc w:val="left"/>
        <w:rPr>
          <w:rFonts w:ascii="Arial" w:hAnsi="Arial"/>
          <w:b/>
          <w:i/>
          <w:sz w:val="19"/>
        </w:rPr>
      </w:pPr>
      <w:r>
        <w:rPr>
          <w:rFonts w:ascii="Arial" w:hAnsi="Arial"/>
          <w:b/>
          <w:i/>
          <w:sz w:val="19"/>
        </w:rPr>
        <w:t xml:space="preserve">2022 Stock Plan </w:t>
      </w:r>
    </w:p>
    <w:p>
      <w:pPr>
        <w:pStyle w:val="TextBody"/>
        <w:bidi w:val="0"/>
        <w:spacing w:before="40" w:after="0"/>
        <w:jc w:val="left"/>
        <w:rPr>
          <w:rFonts w:ascii="Arial" w:hAnsi="Arial"/>
          <w:sz w:val="19"/>
        </w:rPr>
      </w:pPr>
      <w:r>
        <w:rPr>
          <w:rFonts w:ascii="Arial" w:hAnsi="Arial"/>
          <w:sz w:val="19"/>
        </w:rPr>
        <w:t xml:space="preserve">Our board of directors adopted, and our stockholders approved, our 2022 Plan in February 2022. Our 2022 Plan was most recently amended in    , 2026, which amendment will be effective immediately prior to the effectiveness of this registration statement. The 2022 Plan will terminate on the date the 2026 Plan becomes effective, and thereafter no further stock awards will be granted under the 2022 Plan. However, any outstanding stock awards granted under the 2022 Plan will remain outstanding, subject to the terms of our 2022 Plan and award agreements, until such outstanding stock awards are exercised or until such outstanding stock awards terminate or expire by their terms. </w:t>
      </w:r>
    </w:p>
    <w:p>
      <w:pPr>
        <w:pStyle w:val="TextBody"/>
        <w:bidi w:val="0"/>
        <w:spacing w:before="180" w:after="0"/>
        <w:jc w:val="left"/>
        <w:rPr>
          <w:rFonts w:ascii="Arial" w:hAnsi="Arial"/>
          <w:sz w:val="19"/>
        </w:rPr>
      </w:pPr>
      <w:r>
        <w:rPr>
          <w:rFonts w:ascii="Arial" w:hAnsi="Arial"/>
          <w:i/>
          <w:sz w:val="19"/>
        </w:rPr>
        <w:t>Types of Awards</w:t>
      </w:r>
      <w:r>
        <w:rPr>
          <w:rFonts w:ascii="Arial" w:hAnsi="Arial"/>
          <w:sz w:val="19"/>
        </w:rPr>
        <w:t xml:space="preserve">. Our 2022 Plan provides for the grant of ISOs to employees, including employees of our affiliates, and for the grant of NSOs, stock awards and restricted stock units to employees, directors, and consultants, including employees and consultants of our affiliates. </w:t>
      </w:r>
    </w:p>
    <w:p>
      <w:pPr>
        <w:pStyle w:val="TextBody"/>
        <w:bidi w:val="0"/>
        <w:spacing w:before="180" w:after="0"/>
        <w:jc w:val="left"/>
        <w:rPr>
          <w:rFonts w:ascii="Arial" w:hAnsi="Arial"/>
          <w:sz w:val="19"/>
        </w:rPr>
      </w:pPr>
      <w:r>
        <w:rPr>
          <w:rFonts w:ascii="Arial" w:hAnsi="Arial"/>
          <w:i/>
          <w:sz w:val="19"/>
        </w:rPr>
        <w:t>Share Reserve</w:t>
      </w:r>
      <w:r>
        <w:rPr>
          <w:rFonts w:ascii="Arial" w:hAnsi="Arial"/>
          <w:sz w:val="19"/>
        </w:rPr>
        <w:t xml:space="preserve">. Subject to certain capitalization adjustments, the common stock that may be issued pursuant to stock awards under the 2022 Plan will not exceed in the aggregate 9,295,405 shares of our common stock. The shares of our common stock subject to the 2022 Plan may be unissued shares or reacquired shares, bought on the market or otherwise. As of December 31, 2025 and June 30, 2026, 5,052,103 and 697,252 shares of our common stock, respectively, remained available for future issuance under the 2022 Plan. </w:t>
      </w:r>
    </w:p>
    <w:p>
      <w:pPr>
        <w:pStyle w:val="TextBody"/>
        <w:bidi w:val="0"/>
        <w:spacing w:before="180" w:after="0"/>
        <w:jc w:val="left"/>
        <w:rPr>
          <w:rFonts w:ascii="Arial" w:hAnsi="Arial"/>
          <w:sz w:val="19"/>
        </w:rPr>
      </w:pPr>
      <w:r>
        <w:rPr>
          <w:rFonts w:ascii="Arial" w:hAnsi="Arial"/>
          <w:i/>
          <w:sz w:val="19"/>
        </w:rPr>
        <w:t>Administration</w:t>
      </w:r>
      <w:r>
        <w:rPr>
          <w:rFonts w:ascii="Arial" w:hAnsi="Arial"/>
          <w:sz w:val="19"/>
        </w:rPr>
        <w:t xml:space="preserve">. Our board of directors or one or more duly authorized committees of our board of directors (referred to herein as the plan administrator) administers our 2022 Plan and the stock awards granted under it. Under our 2022 Plan, the plan administrator has full authority and discretion to take any actions it deems necessary or advisable for the administration of the 2022 Plan. </w:t>
      </w:r>
    </w:p>
    <w:p>
      <w:pPr>
        <w:pStyle w:val="TextBody"/>
        <w:bidi w:val="0"/>
        <w:spacing w:before="180" w:after="0"/>
        <w:jc w:val="left"/>
        <w:rPr>
          <w:rFonts w:ascii="Arial" w:hAnsi="Arial"/>
          <w:sz w:val="19"/>
        </w:rPr>
      </w:pPr>
      <w:r>
        <w:rPr>
          <w:rFonts w:ascii="Arial" w:hAnsi="Arial"/>
          <w:i/>
          <w:sz w:val="19"/>
        </w:rPr>
        <w:t>Options</w:t>
      </w:r>
      <w:r>
        <w:rPr>
          <w:rFonts w:ascii="Arial" w:hAnsi="Arial"/>
          <w:sz w:val="19"/>
        </w:rPr>
        <w:t xml:space="preserve">. Each option granted under the 2022 Plan is in such form and contains such terms and conditions as determined by the plan administrator. The exercise price of an option under the 2022 Plan generally cannot be less than 100% of the fair market value of our common stock on the date of grant (or 110% of the fair market value for ISOs granted to certain major stockholders).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purchase price of shares of our common stock acquired pursuant to an option under the 2022 Plan may be paid in cash or cash equivalents. In addition, the plan administrator may permit payment through any of the following methods: (i) via promissory note, (ii) by surrender of shares of our common stock, (iii) by a cashless exercise arrangement established by us, (iv) by a net exercise arrangement, or (v) any other form permitted by the Delaware General Corporation Law and as provided in the applicable award agreement. </w:t>
      </w:r>
    </w:p>
    <w:p>
      <w:pPr>
        <w:pStyle w:val="TextBody"/>
        <w:bidi w:val="0"/>
        <w:spacing w:before="180" w:after="0"/>
        <w:jc w:val="left"/>
        <w:rPr>
          <w:rFonts w:ascii="Arial" w:hAnsi="Arial"/>
          <w:sz w:val="19"/>
        </w:rPr>
      </w:pPr>
      <w:r>
        <w:rPr>
          <w:rFonts w:ascii="Arial" w:hAnsi="Arial"/>
          <w:sz w:val="19"/>
        </w:rPr>
        <w:t xml:space="preserve">ISOs are not transferable except by will or by the laws of descent and distribution and are exercisable during the lifetime of the optionholder only by the optionholder. NSOs generally are transferable to the extent provided in the option agreement to the extent permitted by Rule 701 under the Securities Act of 1933, as amended (Securities Act). </w:t>
      </w:r>
    </w:p>
    <w:p>
      <w:pPr>
        <w:pStyle w:val="TextBody"/>
        <w:bidi w:val="0"/>
        <w:spacing w:before="180" w:after="0"/>
        <w:jc w:val="left"/>
        <w:rPr>
          <w:rFonts w:ascii="Arial" w:hAnsi="Arial"/>
          <w:sz w:val="19"/>
        </w:rPr>
      </w:pPr>
      <w:r>
        <w:rPr>
          <w:rFonts w:ascii="Arial" w:hAnsi="Arial"/>
          <w:sz w:val="19"/>
        </w:rPr>
        <w:t xml:space="preserve">In the event that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(i) the date three months following the termination of the optionholder’s continuous service (or such earlier or later period as the plan administrator may determine but in no event earlier than thirty days after optionholder’s termination of service), or (ii) the expiration of the term of the option as set forth in the option agreement. In the event of the optionholder’s termination as a result of disability, the optionholder may exercise his or her option on the earliest of (i) the date six months following the termination of optionholder’s continuous service (or such later date as the plan administrator may determine), or (ii) the expiration term of the option as set forth in the option agreement. If an optionholder dies while they are in service, the optionholder’s options will expire on the earlier of (i) the date twelve months following the optionholder’s death (or such earlier or later date as the plan administrator may determine but in no event earlier than six months after the optionholder’s death), or (ii) the expiration term of the option as set forth in the option agreement. If, after termination, the optionholder does not exercise his or her option within the time specified in the option agreement, the option will terminate. </w:t>
      </w:r>
    </w:p>
    <w:p>
      <w:pPr>
        <w:pStyle w:val="TextBody"/>
        <w:bidi w:val="0"/>
        <w:spacing w:before="180" w:after="0"/>
        <w:jc w:val="left"/>
        <w:rPr>
          <w:rFonts w:ascii="Arial" w:hAnsi="Arial"/>
          <w:sz w:val="19"/>
        </w:rPr>
      </w:pPr>
      <w:r>
        <w:rPr>
          <w:rFonts w:ascii="Arial" w:hAnsi="Arial"/>
          <w:sz w:val="19"/>
        </w:rPr>
        <w:t xml:space="preserve">The plan administrator may grant options that can be exercised before the shares subject to the option have vested. If a participant exercises unvested shares subject to an option, the participant will receive unvested (i.e. restricted) shares subject to a right of repurchase in favor of the company that will lapse over the original vesting schedule for the option while the participant remains in continuous service.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we are a party to a merger or consolidation, or in the event of a sale of all or substantially all of our stock or assets, all awards outstanding under the 2022 Plan as of the effective date of the transaction shall be treated in the manner set forth in the definitive transaction agreement, which need not treat all awards or portions of awards in an identical manner, and may include, without limitation, one or more of the following: (i) the surviving corporation or parent thereof may continue or assume or substitute the awards, (ii) cancel the awards for payment equal to the excess of the value of the property received by the holder of a share of stock as a result of the transaction over the exercise price of the award (if applicable), (iii) cancellation of options without the payment of any consideration, provided that the optionholder is notified of such treatment and given an opportunity to exercise the option (to the extent vested) during a period of generally not less than five business days preceding the effective date of the transaction, and (iv) in the case of an option, (A) the suspension of the optionholder’s right to exercise the option during a limited period of time preceding the closing of the transaction if administratively necessary to facilitate the closing of the transaction and/or (B) the termination of any right the optionholder has to early exercise such option, such that following the closing of the transaction the option may only be exercised to the extent vested. In addition, the plan administrator has the discretion to accelerate, in whole or in part, the vesting and exercisability of any award in connection with a corporate transaction. </w:t>
      </w:r>
    </w:p>
    <w:p>
      <w:pPr>
        <w:pStyle w:val="TextBody"/>
        <w:bidi w:val="0"/>
        <w:spacing w:before="180" w:after="0"/>
        <w:jc w:val="left"/>
        <w:rPr>
          <w:rFonts w:ascii="Arial" w:hAnsi="Arial"/>
          <w:sz w:val="19"/>
        </w:rPr>
      </w:pPr>
      <w:r>
        <w:rPr>
          <w:rFonts w:ascii="Arial" w:hAnsi="Arial"/>
          <w:i/>
          <w:sz w:val="19"/>
        </w:rPr>
        <w:t>Capitalization Adjustments</w:t>
      </w:r>
      <w:r>
        <w:rPr>
          <w:rFonts w:ascii="Arial" w:hAnsi="Arial"/>
          <w:sz w:val="19"/>
        </w:rPr>
        <w:t xml:space="preserve">. In the event of certain changes in our capitalization, the number and class of securities subject to the 2022 Plan, and the stock awards outstanding under the 2022 Plan and any applicable exercise price will be appropriately adjusted.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Our board of directors may amend, suspend, or terminate the 2022 Plan at any time. The 2022 Plan will terminate on the date the 2026 Plan becomes effective, and thereafter no further stock awards will be granted under the 2022 Plan.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Electra Therapeutics LLC 2023 Equity Incentive Plan </w:t>
      </w:r>
    </w:p>
    <w:p>
      <w:pPr>
        <w:pStyle w:val="TextBody"/>
        <w:bidi w:val="0"/>
        <w:spacing w:before="40" w:after="0"/>
        <w:jc w:val="left"/>
        <w:rPr>
          <w:rFonts w:ascii="Arial" w:hAnsi="Arial"/>
          <w:sz w:val="19"/>
        </w:rPr>
      </w:pPr>
      <w:r>
        <w:rPr>
          <w:rFonts w:ascii="Arial" w:hAnsi="Arial"/>
          <w:sz w:val="19"/>
        </w:rPr>
        <w:t xml:space="preserve">The Electra LLC board of managers adopted the 2023 Plan in June 2023, pursuant to which common units of Electra LLC intended to qualify as “profits interests” for U.S. federal income tax purposes (Profits Interest Units) have been granted. As of December 31, 2025 and June 30, 2026, there were 9,813,409 Profits Interest Units outstanding under the 2023 Plan. As discussed further above, prior to the closing of this offering, Electra LLC will effect the LLC Distribution, pursuant to which Electra LLC will distribute shares of our Series A redeemable convertible preferred stock to holders of outstanding Profits Interest Units. Any shares of Series A redeemable convertible preferred stock received in the LLC Distribution will automatically convert into shares of our common stock immediately prior to the closing of this offering. </w:t>
      </w:r>
    </w:p>
    <w:p>
      <w:pPr>
        <w:pStyle w:val="TextBody"/>
        <w:bidi w:val="0"/>
        <w:spacing w:before="180" w:after="0"/>
        <w:jc w:val="left"/>
        <w:rPr>
          <w:rFonts w:ascii="Arial" w:hAnsi="Arial"/>
          <w:sz w:val="19"/>
        </w:rPr>
      </w:pPr>
      <w:r>
        <w:rPr>
          <w:rFonts w:ascii="Arial" w:hAnsi="Arial"/>
          <w:i/>
          <w:sz w:val="19"/>
        </w:rPr>
        <w:t>Authorized Units</w:t>
      </w:r>
      <w:r>
        <w:rPr>
          <w:rFonts w:ascii="Arial" w:hAnsi="Arial"/>
          <w:sz w:val="19"/>
        </w:rPr>
        <w:t xml:space="preserve">. Subject to certain capitalization adjustments, the aggregate number of common units that may be issued pursuant to all awards under the 2023 Plan is 9,930,785 common units. Any common units subject to awards that are forfeited or canceled are thereafter available for issuance under the 2023 Plan. </w:t>
      </w:r>
    </w:p>
    <w:p>
      <w:pPr>
        <w:pStyle w:val="TextBody"/>
        <w:bidi w:val="0"/>
        <w:spacing w:before="180" w:after="0"/>
        <w:jc w:val="left"/>
        <w:rPr>
          <w:rFonts w:ascii="Arial" w:hAnsi="Arial"/>
          <w:sz w:val="19"/>
        </w:rPr>
      </w:pPr>
      <w:r>
        <w:rPr>
          <w:rFonts w:ascii="Arial" w:hAnsi="Arial"/>
          <w:i/>
          <w:sz w:val="19"/>
        </w:rPr>
        <w:t>Type of Awards</w:t>
      </w:r>
      <w:r>
        <w:rPr>
          <w:rFonts w:ascii="Arial" w:hAnsi="Arial"/>
          <w:sz w:val="19"/>
        </w:rPr>
        <w:t xml:space="preserve">. The 2023 Plan provides for the grant of Profits Interest Units, which are interests in Electra LLC intended to qualify as “profits interests” for U.S. federal income tax purposes, and awards of common units to certain employees, advisors, consultants, and service providers of Electra LLC. To achieve the tax treatment with respect to the Profits Interest Units, each Profits Interest Unit is assigned a “distribution threshold” to result in a liquidation value of $0. </w:t>
      </w:r>
    </w:p>
    <w:p>
      <w:pPr>
        <w:pStyle w:val="TextBody"/>
        <w:bidi w:val="0"/>
        <w:spacing w:before="180" w:after="0"/>
        <w:jc w:val="left"/>
        <w:rPr>
          <w:rFonts w:ascii="Arial" w:hAnsi="Arial"/>
          <w:sz w:val="19"/>
        </w:rPr>
      </w:pPr>
      <w:r>
        <w:rPr>
          <w:rFonts w:ascii="Arial" w:hAnsi="Arial"/>
          <w:i/>
          <w:sz w:val="19"/>
        </w:rPr>
        <w:t>Plan Administration</w:t>
      </w:r>
      <w:r>
        <w:rPr>
          <w:rFonts w:ascii="Arial" w:hAnsi="Arial"/>
          <w:sz w:val="19"/>
        </w:rPr>
        <w:t xml:space="preserve">. Electra LLC’s board of managers administers and interprets the 2023 Plan. Under the 2023 Plan, the board of managers has the full authority and discretion to take any actions it deems necessary or advisable for the administration of the 2023 Plan. </w:t>
      </w:r>
    </w:p>
    <w:p>
      <w:pPr>
        <w:pStyle w:val="TextBody"/>
        <w:bidi w:val="0"/>
        <w:spacing w:before="180" w:after="0"/>
        <w:jc w:val="left"/>
        <w:rPr>
          <w:rFonts w:ascii="Arial" w:hAnsi="Arial"/>
          <w:sz w:val="19"/>
        </w:rPr>
      </w:pPr>
      <w:r>
        <w:rPr>
          <w:rFonts w:ascii="Arial" w:hAnsi="Arial"/>
          <w:i/>
          <w:sz w:val="19"/>
        </w:rPr>
        <w:t>Adjustments to Common Units</w:t>
      </w:r>
      <w:r>
        <w:rPr>
          <w:rFonts w:ascii="Arial" w:hAnsi="Arial"/>
          <w:sz w:val="19"/>
        </w:rPr>
        <w:t xml:space="preserve">. In the event of a subdivision, reclassification, or combination of units, or other change in Electra LLC’s capital structure, the administrator shall make appropriate adjustments to the number of common units available for grant under the 2023 Plan and to the distribution threshold and number of common units subject to awards then outstanding. </w:t>
      </w:r>
    </w:p>
    <w:p>
      <w:pPr>
        <w:pStyle w:val="TextBody"/>
        <w:bidi w:val="0"/>
        <w:spacing w:before="180" w:after="0"/>
        <w:jc w:val="left"/>
        <w:rPr>
          <w:rFonts w:ascii="Arial" w:hAnsi="Arial"/>
          <w:sz w:val="19"/>
        </w:rPr>
      </w:pPr>
      <w:r>
        <w:rPr>
          <w:rFonts w:ascii="Arial" w:hAnsi="Arial"/>
          <w:i/>
          <w:sz w:val="19"/>
        </w:rPr>
        <w:t>Corporate Transactions</w:t>
      </w:r>
      <w:r>
        <w:rPr>
          <w:rFonts w:ascii="Arial" w:hAnsi="Arial"/>
          <w:sz w:val="19"/>
        </w:rPr>
        <w:t xml:space="preserve">. In the event Electra LLC consummates a Liquidation Event or Incorporation (each, as defined in the LLC Agreement), all Profits Interest Units will be treated as set forth in the LLC Agreement and the definitive transaction agreement, which need not treat all awards in an identical manner, and may include one or more of the following: (1) continuation of the Profits Interest Units if Electra LLC is the surviving entity, (2) cancellation of the Profits Interest Units in exchange for payment equal to the fair market value of the common units as of the transaction to the extent vested, (3) conversion of the Profits Interest Units by the surviving entity or its parent into equity of the surviving entity or its parent, (4) an amount in cash or other consideration from a sale of assets of Electra LLC constituting a Liquidation Event otherwise distributable to a common unit, reduced by the distribution threshold, (5) cancellation for no consideration if the distribution threshold exceeds the amount that would be distributed or payable in connection with the transaction, or if the common units would otherwise receive no distributions or proceeds in the transaction, and (6) the repurchase or forfeiture of any or all unvested Profits Interest Units. </w:t>
      </w:r>
    </w:p>
    <w:p>
      <w:pPr>
        <w:pStyle w:val="TextBody"/>
        <w:bidi w:val="0"/>
        <w:spacing w:before="180" w:after="0"/>
        <w:jc w:val="left"/>
        <w:rPr>
          <w:rFonts w:ascii="Arial" w:hAnsi="Arial"/>
          <w:sz w:val="19"/>
        </w:rPr>
      </w:pPr>
      <w:r>
        <w:rPr>
          <w:rFonts w:ascii="Arial" w:hAnsi="Arial"/>
          <w:i/>
          <w:sz w:val="19"/>
        </w:rPr>
        <w:t>Distributions.</w:t>
      </w:r>
      <w:r>
        <w:rPr>
          <w:rFonts w:ascii="Arial" w:hAnsi="Arial"/>
          <w:sz w:val="19"/>
        </w:rPr>
        <w:t xml:space="preserve"> As further set forth in the LLC Agreement, holders of Profits Interest Units are entitled to participate in certain distributions above the distribution threshold set forth in their Profits Interest Unit agreements. </w:t>
      </w:r>
    </w:p>
    <w:p>
      <w:pPr>
        <w:pStyle w:val="TextBody"/>
        <w:bidi w:val="0"/>
        <w:spacing w:before="180" w:after="0"/>
        <w:jc w:val="left"/>
        <w:rPr>
          <w:rFonts w:ascii="Arial" w:hAnsi="Arial"/>
          <w:sz w:val="19"/>
        </w:rPr>
      </w:pPr>
      <w:r>
        <w:rPr>
          <w:rFonts w:ascii="Arial" w:hAnsi="Arial"/>
          <w:i/>
          <w:sz w:val="19"/>
        </w:rPr>
        <w:t>Transferability</w:t>
      </w:r>
      <w:r>
        <w:rPr>
          <w:rFonts w:ascii="Arial" w:hAnsi="Arial"/>
          <w:sz w:val="19"/>
        </w:rPr>
        <w:t xml:space="preserve">. Profits Interest Units granted under the 2023 Plan are subject to the restrictions on transfer in the LLC Agreement and any other transfer restrictions as determined by Electra LLC. </w:t>
      </w:r>
    </w:p>
    <w:p>
      <w:pPr>
        <w:pStyle w:val="TextBody"/>
        <w:bidi w:val="0"/>
        <w:spacing w:before="180" w:after="0"/>
        <w:jc w:val="left"/>
        <w:rPr>
          <w:rFonts w:ascii="Arial" w:hAnsi="Arial"/>
          <w:sz w:val="19"/>
        </w:rPr>
      </w:pPr>
      <w:r>
        <w:rPr>
          <w:rFonts w:ascii="Arial" w:hAnsi="Arial"/>
          <w:i/>
          <w:sz w:val="19"/>
        </w:rPr>
        <w:t>Plan Amendment or Termination</w:t>
      </w:r>
      <w:r>
        <w:rPr>
          <w:rFonts w:ascii="Arial" w:hAnsi="Arial"/>
          <w:sz w:val="19"/>
        </w:rPr>
        <w:t xml:space="preserve">. The administrator may amend or terminate the 2023 Plan at any time. Certain amendments or modifications may require member consent as provided in the LLC Agreement. </w:t>
      </w:r>
    </w:p>
    <w:p>
      <w:pPr>
        <w:pStyle w:val="TextBody"/>
        <w:bidi w:val="0"/>
        <w:spacing w:before="240" w:after="0"/>
        <w:jc w:val="left"/>
        <w:rPr>
          <w:rFonts w:ascii="Arial" w:hAnsi="Arial"/>
          <w:b/>
          <w:sz w:val="20"/>
        </w:rPr>
      </w:pPr>
      <w:r>
        <w:rPr>
          <w:rFonts w:ascii="Arial" w:hAnsi="Arial"/>
          <w:b/>
          <w:sz w:val="20"/>
        </w:rPr>
        <w:t xml:space="preserve">Director Compensation </w:t>
      </w:r>
    </w:p>
    <w:p>
      <w:pPr>
        <w:pStyle w:val="TextBody"/>
        <w:bidi w:val="0"/>
        <w:spacing w:before="80" w:after="0"/>
        <w:jc w:val="left"/>
        <w:rPr>
          <w:rFonts w:ascii="Arial" w:hAnsi="Arial"/>
          <w:sz w:val="19"/>
        </w:rPr>
      </w:pPr>
      <w:r>
        <w:rPr>
          <w:rFonts w:ascii="Arial" w:hAnsi="Arial"/>
          <w:sz w:val="19"/>
        </w:rPr>
        <w:t xml:space="preserve">Historically, we have not had a formal compensation policy with respect to service on our board of directors. However, we have entered into individual agreements with each of Mr. Fust and Drs. Rosenthal and Stagliano with respect to their services on our board and pursuant to which they are provided certain compensation, as described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further below. We did not provide compensation to our other non-employee directors related to their board service during fiscal year ended December 31, 2025. </w:t>
      </w:r>
    </w:p>
    <w:p>
      <w:pPr>
        <w:pStyle w:val="TextBody"/>
        <w:bidi w:val="0"/>
        <w:spacing w:before="180" w:after="0"/>
        <w:jc w:val="left"/>
        <w:rPr>
          <w:rFonts w:ascii="Arial" w:hAnsi="Arial"/>
          <w:sz w:val="19"/>
        </w:rPr>
      </w:pPr>
      <w:r>
        <w:rPr>
          <w:rFonts w:ascii="Arial" w:hAnsi="Arial"/>
          <w:sz w:val="19"/>
        </w:rPr>
        <w:t xml:space="preserve">Dr. Dong is a member of our board of directors and an employee of the Company, but does not receive any additional compensation for service as a director. The compensation earned by or paid to Dr. Dong as a named executive officer for the fiscal year ended December 31, 2025 is set forth above in the subsection titled “—Summary Compensation Table for the Year Ended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5"/>
        <w:gridCol w:w="274"/>
        <w:gridCol w:w="74"/>
        <w:gridCol w:w="1012"/>
        <w:gridCol w:w="60"/>
        <w:gridCol w:w="274"/>
        <w:gridCol w:w="209"/>
        <w:gridCol w:w="932"/>
        <w:gridCol w:w="60"/>
        <w:gridCol w:w="274"/>
        <w:gridCol w:w="380"/>
        <w:gridCol w:w="1720"/>
        <w:gridCol w:w="60"/>
        <w:gridCol w:w="274"/>
        <w:gridCol w:w="60"/>
        <w:gridCol w:w="850"/>
        <w:gridCol w:w="67"/>
      </w:tblGrid>
      <w:tr>
        <w:trPr/>
        <w:tc>
          <w:tcPr>
            <w:tcW w:w="362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25"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w:t>
            </w:r>
          </w:p>
        </w:tc>
        <w:tc>
          <w:tcPr>
            <w:tcW w:w="274" w:type="dxa"/>
            <w:tcBorders/>
            <w:vAlign w:val="bottom"/>
          </w:tcPr>
          <w:p>
            <w:pPr>
              <w:pStyle w:val="TableContents"/>
              <w:bidi w:val="0"/>
              <w:spacing w:before="0" w:after="283"/>
              <w:jc w:val="left"/>
              <w:rPr/>
            </w:pPr>
            <w:r>
              <w:rPr/>
              <w:t>  </w:t>
            </w:r>
          </w:p>
        </w:tc>
        <w:tc>
          <w:tcPr>
            <w:tcW w:w="108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FEES</w:t>
              <w:br/>
              <w:t>EARNED</w:t>
              <w:br/>
              <w:t>OR PAID</w:t>
              <w:br/>
              <w:t>IN CASH</w:t>
              <w:br/>
              <w:t>($) (1)</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OPTION</w:t>
              <w:br/>
              <w:t>AWARDS</w:t>
              <w:br/>
              <w:t>($) (2)(3)</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1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1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Matthew Fust, M.B.A.</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45,000</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Thomas Geninatti, Ph.D.</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Carl L. Gordon, Ph.D., C.F.A.</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Adam Rosenthal, Ph.D. (4)</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19,795</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19,795</w:t>
            </w:r>
          </w:p>
        </w:tc>
        <w:tc>
          <w:tcPr>
            <w:tcW w:w="67" w:type="dxa"/>
            <w:tcBorders/>
            <w:vAlign w:val="bottom"/>
          </w:tcPr>
          <w:p>
            <w:pPr>
              <w:pStyle w:val="TableContents"/>
              <w:bidi w:val="0"/>
              <w:spacing w:before="0" w:after="283"/>
              <w:jc w:val="left"/>
              <w:rPr/>
            </w:pPr>
            <w:r>
              <w:rPr/>
              <w:t> </w:t>
            </w:r>
          </w:p>
        </w:tc>
      </w:tr>
      <w:tr>
        <w:trPr/>
        <w:tc>
          <w:tcPr>
            <w:tcW w:w="3625" w:type="dxa"/>
            <w:tcBorders/>
            <w:shd w:fill="CCEEFF" w:val="clear"/>
          </w:tcPr>
          <w:p>
            <w:pPr>
              <w:pStyle w:val="TableContents"/>
              <w:bidi w:val="0"/>
              <w:spacing w:before="0" w:after="0"/>
              <w:jc w:val="left"/>
              <w:rPr>
                <w:rFonts w:ascii="Arial" w:hAnsi="Arial"/>
                <w:sz w:val="19"/>
              </w:rPr>
            </w:pPr>
            <w:r>
              <w:rPr>
                <w:rFonts w:ascii="Arial" w:hAnsi="Arial"/>
                <w:sz w:val="19"/>
              </w:rPr>
              <w:t>Beth Seidenberg, M.D.</w:t>
            </w:r>
          </w:p>
        </w:tc>
        <w:tc>
          <w:tcPr>
            <w:tcW w:w="2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625" w:type="dxa"/>
            <w:tcBorders/>
          </w:tcPr>
          <w:p>
            <w:pPr>
              <w:pStyle w:val="TableContents"/>
              <w:bidi w:val="0"/>
              <w:spacing w:before="0" w:after="0"/>
              <w:jc w:val="left"/>
              <w:rPr>
                <w:rFonts w:ascii="Arial" w:hAnsi="Arial"/>
                <w:sz w:val="19"/>
              </w:rPr>
            </w:pPr>
            <w:r>
              <w:rPr>
                <w:rFonts w:ascii="Arial" w:hAnsi="Arial"/>
                <w:sz w:val="19"/>
              </w:rPr>
              <w:t>Nancy Stagliano, Ph.D.</w:t>
            </w:r>
          </w:p>
        </w:tc>
        <w:tc>
          <w:tcPr>
            <w:tcW w:w="2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100,000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Represents fees paid in fiscal year 2025. Dr. Geninatti, Dr. Gordon and Dr. Seidenberg did not receive compensation for their service to us as non-employee directors in fiscal year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of December 31, 2025, the aggregate number of shares underlying outstanding options to purchase our common stock held by our non-employee directors was 88,642, 155,123 and 141,827 for each of Mr. Fust, Dr. Rosenthal and Dr. Stagliano, respectively. None of our other non-employee directors held any outstanding options as of December 31, 2025.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of December 31, 2025, the aggregate number of Profits Interest Units of Electra LLC outstanding held by our non-employee directors was 5,671,828 and 1,080,348 for each of Dr. Rosenthal and Dr. Stagliano, respectively.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(4)</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Dr. Rosenthal resigned from our board of directors in October 2025, and the cash compensation included in the table above reflects his cash compensation earned through October 2025. </w:t>
            </w:r>
          </w:p>
        </w:tc>
      </w:tr>
    </w:tbl>
    <w:p>
      <w:pPr>
        <w:pStyle w:val="TextBody"/>
        <w:bidi w:val="0"/>
        <w:spacing w:before="180" w:after="0"/>
        <w:jc w:val="left"/>
        <w:rPr>
          <w:rFonts w:ascii="Arial" w:hAnsi="Arial"/>
          <w:sz w:val="19"/>
        </w:rPr>
      </w:pPr>
      <w:r>
        <w:rPr>
          <w:rFonts w:ascii="Arial" w:hAnsi="Arial"/>
          <w:sz w:val="19"/>
        </w:rPr>
        <w:t xml:space="preserve">We reimburse all of our non-employee directors for their reasonable out-of-pocket expenses incurred in attending board of directors and committee meetings. </w:t>
      </w:r>
    </w:p>
    <w:p>
      <w:pPr>
        <w:pStyle w:val="TextBody"/>
        <w:bidi w:val="0"/>
        <w:spacing w:before="180" w:after="0"/>
        <w:jc w:val="left"/>
        <w:rPr>
          <w:rFonts w:ascii="Arial" w:hAnsi="Arial"/>
          <w:sz w:val="19"/>
        </w:rPr>
      </w:pPr>
      <w:r>
        <w:rPr>
          <w:rFonts w:ascii="Arial" w:hAnsi="Arial"/>
          <w:sz w:val="19"/>
        </w:rPr>
        <w:t xml:space="preserve">In October 2023, we entered into an individual agreement with Mr. Fust, which was subsequently amended in March 2024, with respect to his services on our board of directors. Pursuant to Mr. Fust’s agreement, he is eligible to receive an annual cash retainer of $25,000 for his services on our board of directors, plus an additional $10,000 for his services on the audit committee of the board of directors and an additional $10,000 for his services on the compensation committee of our board of directors. Mr. Fust’s agreement further provides that we will reimburse Mr. Fust for reasonable expenses incurred in connection with attendance at meetings of the board or committees of the board. </w:t>
      </w:r>
    </w:p>
    <w:p>
      <w:pPr>
        <w:pStyle w:val="TextBody"/>
        <w:bidi w:val="0"/>
        <w:spacing w:before="180" w:after="0"/>
        <w:jc w:val="left"/>
        <w:rPr>
          <w:rFonts w:ascii="Arial" w:hAnsi="Arial"/>
          <w:sz w:val="19"/>
        </w:rPr>
      </w:pPr>
      <w:r>
        <w:rPr>
          <w:rFonts w:ascii="Arial" w:hAnsi="Arial"/>
          <w:sz w:val="19"/>
        </w:rPr>
        <w:t xml:space="preserve">In November 2023, we entered into an individual agreement with Dr. Rosenthal, which was subsequently amended in October 2025, with respect to his services on our board of directors. Pursuant to Dr. Rosenthal’s agreement, he was eligible to receive an annual cash retainer of $25,000 for his services on our board of directors. In addition, Dr. Rosenthal’s agreement provides that we will reimburse Dr. Rosenthal for reasonable expenses incurred in connection with attendance at meetings of the board or committees of the board. Dr. Rosenthal resigned from our board of directors in October 2025 and his cash compensation for 2025 was prorated for the time he served on our board of directors during the year. In connection with his resignation, Dr. Rosenthal is no longer entitled to any compensation under this agreement. </w:t>
      </w:r>
    </w:p>
    <w:p>
      <w:pPr>
        <w:pStyle w:val="TextBody"/>
        <w:bidi w:val="0"/>
        <w:spacing w:before="180" w:after="0"/>
        <w:jc w:val="left"/>
        <w:rPr>
          <w:rFonts w:ascii="Arial" w:hAnsi="Arial"/>
          <w:sz w:val="19"/>
        </w:rPr>
      </w:pPr>
      <w:r>
        <w:rPr>
          <w:rFonts w:ascii="Arial" w:hAnsi="Arial"/>
          <w:sz w:val="19"/>
        </w:rPr>
        <w:t xml:space="preserve">In January 2024, we entered into an individual agreement with Dr. Stagliano with respect to her services as the Chairperson of our board of directors. Pursuant to Dr. Stagliano’s agreement, she is eligible to receive an annual cash retainer of $100,000 for her services as the Chairperson of our board of directors. In addition, Dr. Stagliano’s agreement provides that we will reimburse Dr. Stagliano for reasonable expenses incurred in connection with attendance at meetings of the board or committees of the board.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Non-employee Director Compensation Policy </w:t>
      </w:r>
    </w:p>
    <w:p>
      <w:pPr>
        <w:pStyle w:val="TextBody"/>
        <w:bidi w:val="0"/>
        <w:spacing w:before="40" w:after="0"/>
        <w:jc w:val="left"/>
        <w:rPr>
          <w:rFonts w:ascii="Arial" w:hAnsi="Arial"/>
          <w:sz w:val="19"/>
        </w:rPr>
      </w:pPr>
      <w:r>
        <w:rPr>
          <w:rFonts w:ascii="Arial" w:hAnsi="Arial"/>
          <w:sz w:val="19"/>
        </w:rPr>
        <w:t xml:space="preserve">We intend to adopt a non-employee director compensation policy, pursuant to which our non-employee directors will be eligible to receive compensation for service on our board of directors and committees of our board of directors, to be effective following the closing of this offering. We will terminate the individual agreements with each of Dr. Stagliano and Mr. Fust described above effective and contingent upon the effectiveness of the non-employee director compensation policy. </w:t>
      </w:r>
    </w:p>
    <w:p>
      <w:pPr>
        <w:pStyle w:val="TextBody"/>
        <w:bidi w:val="0"/>
        <w:spacing w:before="80" w:after="0"/>
        <w:jc w:val="left"/>
        <w:rPr>
          <w:rFonts w:ascii="Arial" w:hAnsi="Arial"/>
          <w:b/>
          <w:i/>
          <w:sz w:val="19"/>
        </w:rPr>
      </w:pPr>
      <w:r>
        <w:rPr>
          <w:rFonts w:ascii="Arial" w:hAnsi="Arial"/>
          <w:b/>
          <w:i/>
          <w:sz w:val="19"/>
        </w:rPr>
        <w:t xml:space="preserve">Limitations of Liability and Indemnification Matters </w:t>
      </w:r>
    </w:p>
    <w:p>
      <w:pPr>
        <w:pStyle w:val="TextBody"/>
        <w:bidi w:val="0"/>
        <w:spacing w:before="40" w:after="0"/>
        <w:jc w:val="left"/>
        <w:rPr>
          <w:rFonts w:ascii="Arial" w:hAnsi="Arial"/>
          <w:sz w:val="19"/>
        </w:rPr>
      </w:pPr>
      <w:r>
        <w:rPr>
          <w:rFonts w:ascii="Arial" w:hAnsi="Arial"/>
          <w:sz w:val="19"/>
        </w:rPr>
        <w:t xml:space="preserve">Our amended and restated certificate of incorporation that will become effective immediately prior to the closing of this offering limits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breach of the director’s or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as a director, unlawful payments of dividends or unlawful stock repurchases or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as an officer, derivative claims brought on behalf of the corporation by a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any transaction from which the director or officer derived an improper personal benefit. </w:t>
            </w:r>
          </w:p>
        </w:tc>
      </w:tr>
    </w:tbl>
    <w:p>
      <w:pPr>
        <w:pStyle w:val="TextBody"/>
        <w:bidi w:val="0"/>
        <w:spacing w:before="180" w:after="0"/>
        <w:jc w:val="left"/>
        <w:rPr>
          <w:rFonts w:ascii="Arial" w:hAnsi="Arial"/>
          <w:sz w:val="19"/>
        </w:rPr>
      </w:pPr>
      <w:r>
        <w:rPr>
          <w:rFonts w:ascii="Arial" w:hAnsi="Arial"/>
          <w:sz w:val="19"/>
        </w:rPr>
        <w:t xml:space="preserve">This limitation of liability does not apply to liabilities arising under federal securities laws and does not affect the availability of equitable remedies such as injunctive relief or rescission. </w:t>
      </w:r>
    </w:p>
    <w:p>
      <w:pPr>
        <w:pStyle w:val="TextBody"/>
        <w:bidi w:val="0"/>
        <w:spacing w:before="180" w:after="0"/>
        <w:jc w:val="left"/>
        <w:rPr>
          <w:rFonts w:ascii="Arial" w:hAnsi="Arial"/>
          <w:sz w:val="19"/>
        </w:rPr>
      </w:pPr>
      <w:r>
        <w:rPr>
          <w:rFonts w:ascii="Arial" w:hAnsi="Arial"/>
          <w:sz w:val="19"/>
        </w:rPr>
        <w:t xml:space="preserve">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before="180" w:after="0"/>
        <w:jc w:val="left"/>
        <w:rPr>
          <w:rFonts w:ascii="Arial" w:hAnsi="Arial"/>
          <w:sz w:val="19"/>
        </w:rPr>
      </w:pPr>
      <w:r>
        <w:rPr>
          <w:rFonts w:ascii="Arial" w:hAnsi="Arial"/>
          <w:sz w:val="19"/>
        </w:rPr>
        <w:t xml:space="preserve">We believe that the amended and restated certificate of incorporation,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180" w:after="0"/>
        <w:jc w:val="left"/>
        <w:rPr>
          <w:rFonts w:ascii="Arial" w:hAnsi="Arial"/>
          <w:sz w:val="19"/>
        </w:rPr>
      </w:pPr>
      <w:r>
        <w:rPr>
          <w:rFonts w:ascii="Arial" w:hAnsi="Arial"/>
          <w:sz w:val="19"/>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180" w:after="0"/>
        <w:jc w:val="left"/>
        <w:rPr>
          <w:rFonts w:ascii="Arial" w:hAnsi="Arial"/>
          <w:sz w:val="19"/>
        </w:rPr>
      </w:pPr>
      <w:r>
        <w:rPr>
          <w:rFonts w:ascii="Arial" w:hAnsi="Arial"/>
          <w:sz w:val="19"/>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180" w:after="0"/>
        <w:jc w:val="left"/>
        <w:rPr>
          <w:rFonts w:ascii="Arial" w:hAnsi="Arial"/>
          <w:sz w:val="19"/>
        </w:rPr>
      </w:pPr>
      <w:r>
        <w:rPr>
          <w:rFonts w:ascii="Arial" w:hAnsi="Arial"/>
          <w:sz w:val="19"/>
        </w:rPr>
        <w:t xml:space="preserve">At present, there is no pending litigation or proceeding involving any of our directors, executive officers or employees for which indemnification is sought, and we are not aware of any threatened litigation that may result in claims for indemnification.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Rule 10b5-1 Sales Plans </w:t>
      </w:r>
    </w:p>
    <w:p>
      <w:pPr>
        <w:pStyle w:val="TextBody"/>
        <w:bidi w:val="0"/>
        <w:spacing w:before="80" w:after="0"/>
        <w:jc w:val="left"/>
        <w:rPr>
          <w:rFonts w:ascii="Arial" w:hAnsi="Arial"/>
          <w:sz w:val="19"/>
        </w:rPr>
      </w:pPr>
      <w:r>
        <w:rPr>
          <w:rFonts w:ascii="Arial" w:hAnsi="Arial"/>
          <w:sz w:val="19"/>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Rule 10b5-1 plan at any time. Our directors and executive officers also may buy or sell additional shares outside of a Rule 10b5-1 plan when they are not in possession of material nonpublic information subject to compliance with the terms of our insider trading policy and any applicable Rule 10b5-1 guidelines.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5" w:name="toc61940_13"/>
      <w:bookmarkEnd w:id="15"/>
      <w:r>
        <w:rPr>
          <w:rFonts w:ascii="Arial" w:hAnsi="Arial"/>
          <w:b/>
          <w:sz w:val="20"/>
        </w:rPr>
        <w:t xml:space="preserve">CERTAIN RELATIONSHIPS AND RELATED PERSON TRANSACTIONS </w:t>
      </w:r>
    </w:p>
    <w:p>
      <w:pPr>
        <w:pStyle w:val="TextBody"/>
        <w:bidi w:val="0"/>
        <w:spacing w:before="360" w:after="0"/>
        <w:jc w:val="left"/>
        <w:rPr>
          <w:rFonts w:ascii="Arial" w:hAnsi="Arial"/>
          <w:sz w:val="19"/>
        </w:rPr>
      </w:pPr>
      <w:r>
        <w:rPr>
          <w:rFonts w:ascii="Arial" w:hAnsi="Arial"/>
          <w:sz w:val="19"/>
        </w:rPr>
        <w:t xml:space="preserve">The following includes a summary of transactions since January 1, 2023, to which we have been a party, in which the amount involved in the transaction exceeded the lesser of $120,000 or 1% of the average of our total assets as of December 31, 2024 and 2025, and in which any of our directors, executive officers, or, to our knowledge, beneficial owners of more than 5% of our capital stock at the time of such transaction,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t>
      </w:r>
    </w:p>
    <w:p>
      <w:pPr>
        <w:pStyle w:val="TextBody"/>
        <w:bidi w:val="0"/>
        <w:spacing w:before="240" w:after="0"/>
        <w:jc w:val="left"/>
        <w:rPr>
          <w:rFonts w:ascii="Arial" w:hAnsi="Arial"/>
          <w:b/>
          <w:sz w:val="20"/>
        </w:rPr>
      </w:pPr>
      <w:r>
        <w:rPr>
          <w:rFonts w:ascii="Arial" w:hAnsi="Arial"/>
          <w:b/>
          <w:sz w:val="20"/>
        </w:rPr>
        <w:t xml:space="preserve">Convertible Promissory Note Financing </w:t>
      </w:r>
    </w:p>
    <w:p>
      <w:pPr>
        <w:pStyle w:val="TextBody"/>
        <w:bidi w:val="0"/>
        <w:spacing w:before="80" w:after="0"/>
        <w:jc w:val="left"/>
        <w:rPr>
          <w:rFonts w:ascii="Arial" w:hAnsi="Arial"/>
          <w:sz w:val="19"/>
        </w:rPr>
      </w:pPr>
      <w:r>
        <w:rPr>
          <w:rFonts w:ascii="Arial" w:hAnsi="Arial"/>
          <w:sz w:val="19"/>
        </w:rPr>
        <w:t xml:space="preserve">In March 2025 and June 2025, we issued and sold to investors unsecured convertible promissory notes in an aggregate principal amount of $40.0 million of convertible promissory notes (the Convertible Notes). The Convertible Notes bore interest at a rate of 8.0% per annum. In connection with the initial closing of our Series C Financing (as defined below) in October 2025, the aggregate principal amount and accrued interest on the convertible promissory notes were converted into 6,121,225 shares of our Series C redeemable convertible preferred stock at an aggregate conversion price of $41.4 million. </w:t>
      </w:r>
    </w:p>
    <w:p>
      <w:pPr>
        <w:pStyle w:val="TextBody"/>
        <w:bidi w:val="0"/>
        <w:spacing w:before="180" w:after="0"/>
        <w:jc w:val="left"/>
        <w:rPr>
          <w:rFonts w:ascii="Arial" w:hAnsi="Arial"/>
          <w:sz w:val="19"/>
        </w:rPr>
      </w:pPr>
      <w:r>
        <w:rPr>
          <w:rFonts w:ascii="Arial" w:hAnsi="Arial"/>
          <w:sz w:val="19"/>
        </w:rPr>
        <w:t xml:space="preserve">The following table sets forth the aggregate principal amount of the Convertible Notes purchased by holders of more than 5% of our capital stock and entities affiliated with our directors and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7"/>
        <w:gridCol w:w="146"/>
        <w:gridCol w:w="94"/>
        <w:gridCol w:w="1746"/>
        <w:gridCol w:w="62"/>
      </w:tblGrid>
      <w:tr>
        <w:trPr/>
        <w:tc>
          <w:tcPr>
            <w:tcW w:w="815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57"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 (1)</w:t>
            </w:r>
          </w:p>
        </w:tc>
        <w:tc>
          <w:tcPr>
            <w:tcW w:w="146" w:type="dxa"/>
            <w:tcBorders/>
            <w:vAlign w:val="bottom"/>
          </w:tcPr>
          <w:p>
            <w:pPr>
              <w:pStyle w:val="TableContents"/>
              <w:bidi w:val="0"/>
              <w:spacing w:before="0" w:after="283"/>
              <w:jc w:val="left"/>
              <w:rPr/>
            </w:pPr>
            <w:r>
              <w:rPr/>
              <w:t>  </w:t>
            </w:r>
          </w:p>
        </w:tc>
        <w:tc>
          <w:tcPr>
            <w:tcW w:w="18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CONVERTIBLE</w:t>
              <w:br/>
              <w:t>PROMISSORY</w:t>
              <w:br/>
              <w:t>NOTES</w:t>
              <w:br/>
              <w:t>PURCHASED</w:t>
              <w:br/>
              <w:t>($)</w:t>
            </w:r>
          </w:p>
        </w:tc>
        <w:tc>
          <w:tcPr>
            <w:tcW w:w="62" w:type="dxa"/>
            <w:tcBorders/>
            <w:vAlign w:val="bottom"/>
          </w:tcPr>
          <w:p>
            <w:pPr>
              <w:pStyle w:val="TableContents"/>
              <w:bidi w:val="0"/>
              <w:spacing w:before="0" w:after="283"/>
              <w:jc w:val="left"/>
              <w:rPr/>
            </w:pPr>
            <w:r>
              <w:rPr/>
              <w:t> </w:t>
            </w:r>
          </w:p>
        </w:tc>
      </w:tr>
      <w:tr>
        <w:trPr/>
        <w:tc>
          <w:tcPr>
            <w:tcW w:w="8157" w:type="dxa"/>
            <w:tcBorders/>
            <w:shd w:fill="CCEEFF" w:val="clear"/>
          </w:tcPr>
          <w:p>
            <w:pPr>
              <w:pStyle w:val="TableContents"/>
              <w:bidi w:val="0"/>
              <w:spacing w:before="0" w:after="0"/>
              <w:jc w:val="left"/>
              <w:rPr>
                <w:rFonts w:ascii="Arial" w:hAnsi="Arial"/>
                <w:sz w:val="19"/>
              </w:rPr>
            </w:pPr>
            <w:r>
              <w:rPr>
                <w:rFonts w:ascii="Arial" w:hAnsi="Arial"/>
                <w:sz w:val="19"/>
              </w:rPr>
              <w:t>OrbiMed Private Investments VII, LP</w:t>
            </w:r>
          </w:p>
        </w:tc>
        <w:tc>
          <w:tcPr>
            <w:tcW w:w="14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7,044,002</w:t>
            </w:r>
          </w:p>
        </w:tc>
        <w:tc>
          <w:tcPr>
            <w:tcW w:w="62" w:type="dxa"/>
            <w:tcBorders/>
            <w:shd w:fill="CCEEFF" w:val="clear"/>
            <w:vAlign w:val="bottom"/>
          </w:tcPr>
          <w:p>
            <w:pPr>
              <w:pStyle w:val="TableContents"/>
              <w:bidi w:val="0"/>
              <w:spacing w:before="0" w:after="283"/>
              <w:jc w:val="left"/>
              <w:rPr/>
            </w:pPr>
            <w:r>
              <w:rPr/>
              <w:t> </w:t>
            </w:r>
          </w:p>
        </w:tc>
      </w:tr>
      <w:tr>
        <w:trPr/>
        <w:tc>
          <w:tcPr>
            <w:tcW w:w="8157" w:type="dxa"/>
            <w:tcBorders/>
          </w:tcPr>
          <w:p>
            <w:pPr>
              <w:pStyle w:val="TableContents"/>
              <w:bidi w:val="0"/>
              <w:spacing w:before="0" w:after="0"/>
              <w:jc w:val="left"/>
              <w:rPr>
                <w:rFonts w:ascii="Arial" w:hAnsi="Arial"/>
                <w:sz w:val="19"/>
              </w:rPr>
            </w:pPr>
            <w:r>
              <w:rPr>
                <w:rFonts w:ascii="Arial" w:hAnsi="Arial"/>
                <w:sz w:val="19"/>
              </w:rPr>
              <w:t>Redmile Biopharma Investments II, L.P.</w:t>
            </w:r>
          </w:p>
        </w:tc>
        <w:tc>
          <w:tcPr>
            <w:tcW w:w="14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right"/>
              <w:rPr/>
            </w:pPr>
            <w:r>
              <w:rPr/>
              <w:t>7,050,871</w:t>
            </w:r>
          </w:p>
        </w:tc>
        <w:tc>
          <w:tcPr>
            <w:tcW w:w="62" w:type="dxa"/>
            <w:tcBorders/>
            <w:vAlign w:val="bottom"/>
          </w:tcPr>
          <w:p>
            <w:pPr>
              <w:pStyle w:val="TableContents"/>
              <w:bidi w:val="0"/>
              <w:spacing w:before="0" w:after="283"/>
              <w:jc w:val="left"/>
              <w:rPr/>
            </w:pPr>
            <w:r>
              <w:rPr/>
              <w:t> </w:t>
            </w:r>
          </w:p>
        </w:tc>
      </w:tr>
      <w:tr>
        <w:trPr/>
        <w:tc>
          <w:tcPr>
            <w:tcW w:w="8157" w:type="dxa"/>
            <w:tcBorders/>
            <w:shd w:fill="CCEEFF" w:val="clear"/>
          </w:tcPr>
          <w:p>
            <w:pPr>
              <w:pStyle w:val="TableContents"/>
              <w:bidi w:val="0"/>
              <w:spacing w:before="0" w:after="0"/>
              <w:jc w:val="left"/>
              <w:rPr>
                <w:rFonts w:ascii="Arial" w:hAnsi="Arial"/>
                <w:sz w:val="19"/>
              </w:rPr>
            </w:pPr>
            <w:r>
              <w:rPr>
                <w:rFonts w:ascii="Arial" w:hAnsi="Arial"/>
                <w:sz w:val="19"/>
              </w:rPr>
              <w:t>Westlake BioPartners Fund II, L.P.</w:t>
            </w:r>
          </w:p>
        </w:tc>
        <w:tc>
          <w:tcPr>
            <w:tcW w:w="14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6" w:type="dxa"/>
            <w:tcBorders/>
            <w:shd w:fill="CCEEFF" w:val="clear"/>
            <w:vAlign w:val="bottom"/>
          </w:tcPr>
          <w:p>
            <w:pPr>
              <w:pStyle w:val="TableContents"/>
              <w:bidi w:val="0"/>
              <w:spacing w:before="0" w:after="283"/>
              <w:jc w:val="right"/>
              <w:rPr/>
            </w:pPr>
            <w:r>
              <w:rPr/>
              <w:t>11,720,022</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Additional details regarding these stockholders and their equity holdings are provided in this prospectus under the section titled “Principal Stockholders” and below in the subsection titled “—Series C Redeemable Convertible Preferred Stock Financing.” </w:t>
            </w:r>
          </w:p>
        </w:tc>
      </w:tr>
    </w:tbl>
    <w:p>
      <w:pPr>
        <w:pStyle w:val="TextBody"/>
        <w:bidi w:val="0"/>
        <w:spacing w:before="240" w:after="0"/>
        <w:jc w:val="left"/>
        <w:rPr>
          <w:rFonts w:ascii="Arial" w:hAnsi="Arial"/>
          <w:b/>
          <w:sz w:val="20"/>
        </w:rPr>
      </w:pPr>
      <w:r>
        <w:rPr>
          <w:rFonts w:ascii="Arial" w:hAnsi="Arial"/>
          <w:b/>
          <w:sz w:val="20"/>
        </w:rPr>
        <w:t xml:space="preserve">Series C Redeemable Convertible Preferred Stock Financing </w:t>
      </w:r>
    </w:p>
    <w:p>
      <w:pPr>
        <w:pStyle w:val="TextBody"/>
        <w:bidi w:val="0"/>
        <w:spacing w:before="80" w:after="0"/>
        <w:jc w:val="left"/>
        <w:rPr>
          <w:rFonts w:ascii="Arial" w:hAnsi="Arial"/>
          <w:sz w:val="19"/>
        </w:rPr>
      </w:pPr>
      <w:r>
        <w:rPr>
          <w:rFonts w:ascii="Arial" w:hAnsi="Arial"/>
          <w:sz w:val="19"/>
        </w:rPr>
        <w:t xml:space="preserve">In October 2025 and June 2026, we issued and sold to investors, in our Series C redeemable convertible preferred stock financing (the Series C Financing), an aggregate of 27,203,243 shares of our Series C redeemable convertible preferred stock at a purchase price of $6.7688 per share for aggregate cash proceeds of approximately $182.7 million, including the conversion of the principal and accrued interest under the Convertible Notes. </w:t>
      </w:r>
    </w:p>
    <w:p>
      <w:pPr>
        <w:pStyle w:val="TextBody"/>
        <w:bidi w:val="0"/>
        <w:spacing w:before="180" w:after="0"/>
        <w:jc w:val="left"/>
        <w:rPr>
          <w:rFonts w:ascii="Arial" w:hAnsi="Arial"/>
          <w:sz w:val="19"/>
        </w:rPr>
      </w:pPr>
      <w:r>
        <w:rPr>
          <w:rFonts w:ascii="Arial" w:hAnsi="Arial"/>
          <w:sz w:val="19"/>
        </w:rPr>
        <w:t xml:space="preserve">The following table summarizes the shares of Series C redeemable convertible preferred stock issued in our Series C Financing to holders of more than 5% of our capital stock and entities affiliated with our directors and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3"/>
        <w:gridCol w:w="146"/>
        <w:gridCol w:w="105"/>
        <w:gridCol w:w="1804"/>
        <w:gridCol w:w="60"/>
        <w:gridCol w:w="146"/>
        <w:gridCol w:w="82"/>
        <w:gridCol w:w="1525"/>
        <w:gridCol w:w="64"/>
      </w:tblGrid>
      <w:tr>
        <w:trPr/>
        <w:tc>
          <w:tcPr>
            <w:tcW w:w="627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w:t>
            </w:r>
          </w:p>
        </w:tc>
        <w:tc>
          <w:tcPr>
            <w:tcW w:w="146" w:type="dxa"/>
            <w:tcBorders/>
            <w:vAlign w:val="bottom"/>
          </w:tcPr>
          <w:p>
            <w:pPr>
              <w:pStyle w:val="TableContents"/>
              <w:bidi w:val="0"/>
              <w:spacing w:before="0" w:after="283"/>
              <w:jc w:val="left"/>
              <w:rPr/>
            </w:pPr>
            <w:r>
              <w:rPr/>
              <w:t>  </w:t>
            </w:r>
          </w:p>
        </w:tc>
        <w:tc>
          <w:tcPr>
            <w:tcW w:w="19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SERIES C</w:t>
              <w:br/>
              <w:t>CONVERTIBLE</w:t>
              <w:br/>
              <w:t>PREFERRED</w:t>
              <w:br/>
              <w:t>STOCK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PURCHASE</w:t>
              <w:br/>
              <w:t>PRICE</w:t>
              <w:br/>
              <w:t>($)</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Aventis Inc. (1)</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3,693,416</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24,999,994</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LSP 7 Coöperatief U.A. (2)</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3,693,416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24,999,994</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OrbiMed Private Investments VII, LP (3)</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3,692,887</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24,996,414</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Redmile Biopharma Investments II, L.P. (4)</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2,556,366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17,303,530</w:t>
            </w:r>
          </w:p>
        </w:tc>
        <w:tc>
          <w:tcPr>
            <w:tcW w:w="64"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Arial" w:hAnsi="Arial"/>
                <w:sz w:val="19"/>
              </w:rPr>
            </w:pPr>
            <w:r>
              <w:rPr>
                <w:rFonts w:ascii="Arial" w:hAnsi="Arial"/>
                <w:sz w:val="19"/>
              </w:rPr>
              <w:t>Westlake BioPartners Fund II, L.P. (5)</w:t>
            </w:r>
          </w:p>
        </w:tc>
        <w:tc>
          <w:tcPr>
            <w:tcW w:w="14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1,793,525</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right"/>
              <w:rPr/>
            </w:pPr>
            <w:r>
              <w:rPr/>
              <w:t>12,140,012</w:t>
            </w:r>
          </w:p>
        </w:tc>
        <w:tc>
          <w:tcPr>
            <w:tcW w:w="64"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Arial" w:hAnsi="Arial"/>
                <w:sz w:val="19"/>
              </w:rPr>
            </w:pPr>
            <w:r>
              <w:rPr>
                <w:rFonts w:ascii="Arial" w:hAnsi="Arial"/>
                <w:sz w:val="19"/>
              </w:rPr>
              <w:t>Nextech VIII SCSp (6)</w:t>
            </w:r>
          </w:p>
        </w:tc>
        <w:tc>
          <w:tcPr>
            <w:tcW w:w="1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2,954,733</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right"/>
              <w:rPr/>
            </w:pPr>
            <w:r>
              <w:rPr/>
              <w:t>19,999,997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Aventis Inc. (Sanofi) holds more than 5% of our outstanding capital stock.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(2) </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LSP 7 Coöperatief U.A. (EQT)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Consists of (i) 2,555,315 shares of Series C redeemable convertible preferred stock held by OPI VII and (ii) 1,137,572 shares of Series C redeemable convertible preferred stock held by OrbiMed Genesis Master Fund, LP (Orbi Genesis and together with OPI VII, OrbiMed). OrbiMed holds more than 5% of our outstanding capital stock. OrbiMed Capital GP VII LLC (GP VII) is the general partner of OPI VII. OrbiMed Genesis GP LLC (Genesis GP) is the general partner of Orbi Genesis and OrbiMed Advisors LLC (OrbiMed Advisors) is the managing member of GP VII and Genesis GP. By virtue of such relationships, GP VII, Genesis GP, and OrbiMed Advisors may be deemed to have voting power and investment power over the securities held by OPI VII and Orbi Genesis and as a result, may be deemed to have beneficial ownership of such securities. OrbiMed Advisors exercises voting and investment power through a management committee comprised of Dr. Gordon, Sven H. Borho, and W. Carter Neild, each of whom disclaims beneficial ownership of the shares held by OPI VII and Orbi Genesis. Dr. Gordon, a member of our board of directors, is a Founding Member, Managing Partner at OrbiMed Advisors.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Redmile Biopharma Investments II, L.P. (Redmile) holds more than 5% of our outstanding capital stock.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(5)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Westlake holds more than 5% of our outstanding capital stock. Dr. Seidenberg, a member of our board of directors, is a Founding Managing Director of Westlake.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(6)</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Dr. Geninatti, a member of our board of directors, is a Principal of Nextech Invest AG, which is affiliated with Nextech VIII SCSp. </w:t>
            </w:r>
          </w:p>
        </w:tc>
      </w:tr>
    </w:tbl>
    <w:p>
      <w:pPr>
        <w:pStyle w:val="TextBody"/>
        <w:bidi w:val="0"/>
        <w:spacing w:before="240" w:after="0"/>
        <w:jc w:val="left"/>
        <w:rPr>
          <w:rFonts w:ascii="Arial" w:hAnsi="Arial"/>
          <w:b/>
          <w:sz w:val="20"/>
        </w:rPr>
      </w:pPr>
      <w:r>
        <w:rPr>
          <w:rFonts w:ascii="Arial" w:hAnsi="Arial"/>
          <w:b/>
          <w:sz w:val="20"/>
        </w:rPr>
        <w:t xml:space="preserve">Investor Agreements </w:t>
      </w:r>
    </w:p>
    <w:p>
      <w:pPr>
        <w:pStyle w:val="TextBody"/>
        <w:bidi w:val="0"/>
        <w:spacing w:before="80" w:after="0"/>
        <w:jc w:val="left"/>
        <w:rPr>
          <w:rFonts w:ascii="Arial" w:hAnsi="Arial"/>
          <w:sz w:val="19"/>
        </w:rPr>
      </w:pPr>
      <w:r>
        <w:rPr>
          <w:rFonts w:ascii="Arial" w:hAnsi="Arial"/>
          <w:sz w:val="19"/>
        </w:rPr>
        <w:t xml:space="preserve">In connection with our redeemable convertible preferred stock financings, we entered into investors’ rights, right of first refusal and co-sale, and voting agreements and management rights letters, which contain, among other things, registration rights, information rights, voting rights, rights of first refusal, and certain other rights and covenants, with certain holders of our capital stock, including entities affiliated with Sanofi, EQT, Nextech, OrbiMed, Redmile, Westlake, and certain of our other stockholders. These agreements will terminate upon the closing of this offering, except for the registration rights granted under our investor rights agreement (defined below), as more fully described in the section titled “Description of Capital Stock—Registration Rights,” certain rights granted to Sanofi under the Sanofi Side Letter, as defined and more fully described below in the subsection titled “—Sanofi Side Letter,” and other certain rights granted to Redmile under the Redmile MRL, as defined and more fully described below in the subsection titled “—Redmile Management Rights Letter.” See also the section titled “Principal Stockholders” for additional information regarding beneficial ownership of our capital stock. </w:t>
      </w:r>
    </w:p>
    <w:p>
      <w:pPr>
        <w:pStyle w:val="TextBody"/>
        <w:bidi w:val="0"/>
        <w:spacing w:before="80" w:after="0"/>
        <w:jc w:val="left"/>
        <w:rPr>
          <w:rFonts w:ascii="Arial" w:hAnsi="Arial"/>
          <w:b/>
          <w:i/>
          <w:sz w:val="19"/>
        </w:rPr>
      </w:pPr>
      <w:r>
        <w:rPr>
          <w:rFonts w:ascii="Arial" w:hAnsi="Arial"/>
          <w:b/>
          <w:i/>
          <w:sz w:val="19"/>
        </w:rPr>
        <w:t xml:space="preserve">Sanofi Side Letter </w:t>
      </w:r>
    </w:p>
    <w:p>
      <w:pPr>
        <w:pStyle w:val="TextBody"/>
        <w:bidi w:val="0"/>
        <w:spacing w:before="40" w:after="0"/>
        <w:jc w:val="left"/>
        <w:rPr>
          <w:rFonts w:ascii="Arial" w:hAnsi="Arial"/>
          <w:sz w:val="19"/>
        </w:rPr>
      </w:pPr>
      <w:r>
        <w:rPr>
          <w:rFonts w:ascii="Arial" w:hAnsi="Arial"/>
          <w:sz w:val="19"/>
        </w:rPr>
        <w:t xml:space="preserve">We entered into a side letter with Sanofi (the Sanofi Side Letter), a holder of more than 5% of our outstanding capital stock, in October 2025 in connection with Sanofi’s purchase of shares of Series C redeemable convertible preferred stock. Under the Sanofi Side Letter, we agreed, among other things: (i) to allow Sanofi to have a representative attend, as an observer, meetings of our scientific and clinical advisory boards and committees pertaining to some of our product candidates; (ii) to allow Sanofi to request update meetings and access to certain clinical and regulatory data relating to our product candidates; (iii) to provide Sanofi with written notice relating to certain potential transactions involving our product candidates and the ability to participate in any such process; and (iv) to have Sanofi’s restrictive legends on the shares of our capital stock removed. The rights described above will remain in effect until the earlier of (x) a Liquidation Event (as defined in our Amended and Restated Certificate of Incorporation as currently in effect), (y) if Sanofi becomes a sanctioned party, and (z) such time as Sanofi no longer satisfies certain ownership requirements with respect to the shares of our capital stock. </w:t>
      </w:r>
    </w:p>
    <w:p>
      <w:pPr>
        <w:pStyle w:val="TextBody"/>
        <w:bidi w:val="0"/>
        <w:spacing w:before="80" w:after="0"/>
        <w:jc w:val="left"/>
        <w:rPr>
          <w:rFonts w:ascii="Arial" w:hAnsi="Arial"/>
          <w:b/>
          <w:i/>
          <w:sz w:val="19"/>
        </w:rPr>
      </w:pPr>
      <w:r>
        <w:rPr>
          <w:rFonts w:ascii="Arial" w:hAnsi="Arial"/>
          <w:b/>
          <w:i/>
          <w:sz w:val="19"/>
        </w:rPr>
        <w:t xml:space="preserve">Redmile Management Rights Letter </w:t>
      </w:r>
    </w:p>
    <w:p>
      <w:pPr>
        <w:pStyle w:val="TextBody"/>
        <w:bidi w:val="0"/>
        <w:spacing w:before="40" w:after="0"/>
        <w:jc w:val="left"/>
        <w:rPr>
          <w:rFonts w:ascii="Arial" w:hAnsi="Arial"/>
          <w:sz w:val="19"/>
        </w:rPr>
      </w:pPr>
      <w:r>
        <w:rPr>
          <w:rFonts w:ascii="Arial" w:hAnsi="Arial"/>
          <w:sz w:val="19"/>
        </w:rPr>
        <w:t xml:space="preserve">We entered into an amended and restated management rights letter (the Redmile MRL) with Redmile, a holder of more than 5% of our outstanding capital stock, in October 2025 in connection with Redmile’s purchase of shares of Series C redeemable convertible preferred stock. Under the Redmile MRL, we agreed, among other things, to have Redmile’s restrictive legends on the shares of our capital stock removed. The foregoing rights and restrictions, as well as Redmile’s confidentiality obligations, will survive the closing of this offering. All other rights provided under the Redmile MRL will terminate upon the closing of this offering. </w:t>
      </w:r>
    </w:p>
    <w:p>
      <w:pPr>
        <w:pStyle w:val="TextBody"/>
        <w:bidi w:val="0"/>
        <w:spacing w:before="240" w:after="0"/>
        <w:jc w:val="left"/>
        <w:rPr>
          <w:rFonts w:ascii="Arial" w:hAnsi="Arial"/>
          <w:b/>
          <w:sz w:val="20"/>
        </w:rPr>
      </w:pPr>
      <w:r>
        <w:rPr>
          <w:rFonts w:ascii="Arial" w:hAnsi="Arial"/>
          <w:b/>
          <w:sz w:val="20"/>
        </w:rPr>
        <w:t xml:space="preserve">Our Relationship with Star Therapeutics LLC </w:t>
      </w:r>
    </w:p>
    <w:p>
      <w:pPr>
        <w:pStyle w:val="TextBody"/>
        <w:bidi w:val="0"/>
        <w:spacing w:before="80" w:after="0"/>
        <w:jc w:val="left"/>
        <w:rPr>
          <w:rFonts w:ascii="Arial" w:hAnsi="Arial"/>
          <w:sz w:val="19"/>
        </w:rPr>
      </w:pPr>
      <w:r>
        <w:rPr>
          <w:rFonts w:ascii="Arial" w:hAnsi="Arial"/>
          <w:sz w:val="19"/>
        </w:rPr>
        <w:t xml:space="preserve">We were formed as a wholly-owned subsidiary of Star Therapeutics LLC (Star LLC) in October 2018. In February 2022, we issued shares of our Series B redeemable convertible preferred stock to outside investors but remained a majority-owned subsidiary of Star LLC. In June 2023, Star LLC formed Electra LLC and contributed its shares of our Series A redeemable convertible preferred stock to Electra LLC in exchange for units of Electra LLC. Star LLC then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distributed in-kind the units of Electra LLC to its members, certain of which are holders of more than 5% of our outstanding capital stock as described in the table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06"/>
        <w:gridCol w:w="235"/>
        <w:gridCol w:w="96"/>
        <w:gridCol w:w="1806"/>
        <w:gridCol w:w="62"/>
      </w:tblGrid>
      <w:tr>
        <w:trPr/>
        <w:tc>
          <w:tcPr>
            <w:tcW w:w="8006"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06"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HOLDERS</w:t>
            </w:r>
          </w:p>
        </w:tc>
        <w:tc>
          <w:tcPr>
            <w:tcW w:w="235" w:type="dxa"/>
            <w:tcBorders/>
            <w:vAlign w:val="bottom"/>
          </w:tcPr>
          <w:p>
            <w:pPr>
              <w:pStyle w:val="TableContents"/>
              <w:bidi w:val="0"/>
              <w:spacing w:before="0" w:after="283"/>
              <w:jc w:val="left"/>
              <w:rPr/>
            </w:pPr>
            <w:r>
              <w:rPr/>
              <w:t>  </w:t>
            </w:r>
          </w:p>
        </w:tc>
        <w:tc>
          <w:tcPr>
            <w:tcW w:w="190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PREFERRED</w:t>
              <w:br/>
              <w:t>UNITS OF</w:t>
              <w:br/>
              <w:t>ELECTRA LLC(1)</w:t>
            </w:r>
          </w:p>
        </w:tc>
        <w:tc>
          <w:tcPr>
            <w:tcW w:w="62" w:type="dxa"/>
            <w:tcBorders/>
            <w:vAlign w:val="bottom"/>
          </w:tcPr>
          <w:p>
            <w:pPr>
              <w:pStyle w:val="TableContents"/>
              <w:bidi w:val="0"/>
              <w:spacing w:before="0" w:after="283"/>
              <w:jc w:val="left"/>
              <w:rPr/>
            </w:pPr>
            <w:r>
              <w:rPr/>
              <w:t> </w:t>
            </w:r>
          </w:p>
        </w:tc>
      </w:tr>
      <w:tr>
        <w:trPr/>
        <w:tc>
          <w:tcPr>
            <w:tcW w:w="8006" w:type="dxa"/>
            <w:tcBorders/>
            <w:shd w:fill="CCEEFF" w:val="clear"/>
          </w:tcPr>
          <w:p>
            <w:pPr>
              <w:pStyle w:val="TableContents"/>
              <w:bidi w:val="0"/>
              <w:spacing w:before="0" w:after="20"/>
              <w:jc w:val="left"/>
              <w:rPr>
                <w:rFonts w:ascii="Arial" w:hAnsi="Arial"/>
                <w:sz w:val="19"/>
              </w:rPr>
            </w:pPr>
            <w:r>
              <w:rPr>
                <w:rFonts w:ascii="Arial" w:hAnsi="Arial"/>
                <w:sz w:val="19"/>
              </w:rPr>
              <w:t>OPI VII (2)</w:t>
            </w:r>
          </w:p>
        </w:tc>
        <w:tc>
          <w:tcPr>
            <w:tcW w:w="23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6,813,384</w:t>
            </w:r>
          </w:p>
        </w:tc>
        <w:tc>
          <w:tcPr>
            <w:tcW w:w="62" w:type="dxa"/>
            <w:tcBorders/>
            <w:shd w:fill="CCEEFF" w:val="clear"/>
            <w:vAlign w:val="bottom"/>
          </w:tcPr>
          <w:p>
            <w:pPr>
              <w:pStyle w:val="TableContents"/>
              <w:bidi w:val="0"/>
              <w:spacing w:before="0" w:after="283"/>
              <w:jc w:val="left"/>
              <w:rPr/>
            </w:pPr>
            <w:r>
              <w:rPr/>
              <w:t> </w:t>
            </w:r>
          </w:p>
        </w:tc>
      </w:tr>
      <w:tr>
        <w:trPr/>
        <w:tc>
          <w:tcPr>
            <w:tcW w:w="8006" w:type="dxa"/>
            <w:tcBorders/>
          </w:tcPr>
          <w:p>
            <w:pPr>
              <w:pStyle w:val="TableContents"/>
              <w:bidi w:val="0"/>
              <w:spacing w:before="0" w:after="20"/>
              <w:jc w:val="left"/>
              <w:rPr>
                <w:rFonts w:ascii="Arial" w:hAnsi="Arial"/>
                <w:sz w:val="19"/>
              </w:rPr>
            </w:pPr>
            <w:r>
              <w:rPr>
                <w:rFonts w:ascii="Arial" w:hAnsi="Arial"/>
                <w:sz w:val="19"/>
              </w:rPr>
              <w:t>Redmile Biopharma Investments II, L.P. (2)</w:t>
            </w:r>
          </w:p>
        </w:tc>
        <w:tc>
          <w:tcPr>
            <w:tcW w:w="2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6,752,194</w:t>
            </w:r>
          </w:p>
        </w:tc>
        <w:tc>
          <w:tcPr>
            <w:tcW w:w="62" w:type="dxa"/>
            <w:tcBorders/>
            <w:vAlign w:val="bottom"/>
          </w:tcPr>
          <w:p>
            <w:pPr>
              <w:pStyle w:val="TableContents"/>
              <w:bidi w:val="0"/>
              <w:spacing w:before="0" w:after="283"/>
              <w:jc w:val="left"/>
              <w:rPr/>
            </w:pPr>
            <w:r>
              <w:rPr/>
              <w:t> </w:t>
            </w:r>
          </w:p>
        </w:tc>
      </w:tr>
      <w:tr>
        <w:trPr/>
        <w:tc>
          <w:tcPr>
            <w:tcW w:w="8006" w:type="dxa"/>
            <w:tcBorders/>
            <w:shd w:fill="CCEEFF" w:val="clear"/>
          </w:tcPr>
          <w:p>
            <w:pPr>
              <w:pStyle w:val="TableContents"/>
              <w:bidi w:val="0"/>
              <w:spacing w:before="0" w:after="20"/>
              <w:jc w:val="left"/>
              <w:rPr>
                <w:rFonts w:ascii="Arial" w:hAnsi="Arial"/>
                <w:sz w:val="19"/>
              </w:rPr>
            </w:pPr>
            <w:r>
              <w:rPr>
                <w:rFonts w:ascii="Arial" w:hAnsi="Arial"/>
                <w:sz w:val="19"/>
              </w:rPr>
              <w:t>Westlake BioPartners Fund I, L.P. (3)</w:t>
            </w:r>
          </w:p>
        </w:tc>
        <w:tc>
          <w:tcPr>
            <w:tcW w:w="23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12,002,003</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19"/>
              </w:rPr>
            </w:pPr>
            <w:r>
              <w:rPr>
                <w:rFonts w:ascii="Arial" w:hAnsi="Arial"/>
                <w:sz w:val="19"/>
              </w:rPr>
              <w:t xml:space="preserve">As of June 30, 2026, Electra LLC had 54,018,868 outstanding units.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Arial" w:hAnsi="Arial"/>
                <w:sz w:val="19"/>
              </w:rPr>
            </w:pPr>
            <w:r>
              <w:rPr>
                <w:rFonts w:ascii="Arial" w:hAnsi="Arial"/>
                <w:sz w:val="19"/>
              </w:rPr>
              <w:t xml:space="preserve">Additional details regarding these stockholders and their equity holdings are provided in this prospectus under the section titled “Principal Stockholders” and above in the subsection titled “—Series C Redeemable Convertible Preferred Stock Financing.”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Arial" w:hAnsi="Arial"/>
                <w:sz w:val="19"/>
              </w:rPr>
            </w:pPr>
            <w:r>
              <w:rPr>
                <w:rFonts w:ascii="Arial" w:hAnsi="Arial"/>
                <w:sz w:val="19"/>
              </w:rPr>
              <w:t xml:space="preserve">Westlake holds more than 5% of our outstanding capital stock. Dr. Seidenberg, a member of our board of directors, is a Founding Managing Director of Westlake. </w:t>
            </w:r>
          </w:p>
        </w:tc>
      </w:tr>
    </w:tbl>
    <w:p>
      <w:pPr>
        <w:pStyle w:val="TextBody"/>
        <w:bidi w:val="0"/>
        <w:spacing w:before="180" w:after="0"/>
        <w:jc w:val="left"/>
        <w:rPr>
          <w:rFonts w:ascii="Arial" w:hAnsi="Arial"/>
          <w:sz w:val="19"/>
        </w:rPr>
      </w:pPr>
      <w:r>
        <w:rPr>
          <w:rFonts w:ascii="Arial" w:hAnsi="Arial"/>
          <w:sz w:val="19"/>
        </w:rPr>
        <w:t xml:space="preserve">As a result, we were spun out of and no longer owned by Star LLC. In January 2024, we entered into a Mutual Intercompany Services Agreement with Star Therapeutics, Inc. (Star Inc.), a wholly-owned operating entity of Star LLC (the ISA). The ISA replaced a prior intercompany services agreement between us and Star Inc. originally entered into in December 2018, as further amended in August 2021 and June 2023 (the Original Star Agreement, and together with the ISA, the Star Agreements). Pursuant to the Star Agreements, we agreed to provide certain services to Star Inc. and its affiliated entities, and Star Inc. agreed to provide certain services to us. During the period from January 1, 2023 through the termination of the ISA in October 2025, we paid an aggregate of approximately $15.5 million to Star Inc., and Star Inc. paid us an aggregate of approximately $0.2 million. </w:t>
      </w:r>
    </w:p>
    <w:p>
      <w:pPr>
        <w:pStyle w:val="TextBody"/>
        <w:bidi w:val="0"/>
        <w:spacing w:before="240" w:after="0"/>
        <w:jc w:val="left"/>
        <w:rPr>
          <w:rFonts w:ascii="Arial" w:hAnsi="Arial"/>
          <w:b/>
          <w:sz w:val="20"/>
        </w:rPr>
      </w:pPr>
      <w:r>
        <w:rPr>
          <w:rFonts w:ascii="Arial" w:hAnsi="Arial"/>
          <w:b/>
          <w:sz w:val="20"/>
        </w:rPr>
        <w:t xml:space="preserve">Employment Arrangements and Indemnification Agreements </w:t>
      </w:r>
    </w:p>
    <w:p>
      <w:pPr>
        <w:pStyle w:val="TextBody"/>
        <w:bidi w:val="0"/>
        <w:spacing w:before="80" w:after="0"/>
        <w:jc w:val="left"/>
        <w:rPr>
          <w:rFonts w:ascii="Arial" w:hAnsi="Arial"/>
          <w:sz w:val="19"/>
        </w:rPr>
      </w:pPr>
      <w:r>
        <w:rPr>
          <w:rFonts w:ascii="Arial" w:hAnsi="Arial"/>
          <w:sz w:val="19"/>
        </w:rPr>
        <w:t xml:space="preserve">We have entered into employment agreements with certain of our executive officers. For more information regarding these agreements with our named executive officers, see the section titled “Executive and Director Compensation—Employment Arrangements with Our Named Executive Officers.” </w:t>
      </w:r>
    </w:p>
    <w:p>
      <w:pPr>
        <w:pStyle w:val="TextBody"/>
        <w:bidi w:val="0"/>
        <w:spacing w:before="180" w:after="0"/>
        <w:jc w:val="left"/>
        <w:rPr>
          <w:rFonts w:ascii="Arial" w:hAnsi="Arial"/>
          <w:sz w:val="19"/>
        </w:rPr>
      </w:pPr>
      <w:r>
        <w:rPr>
          <w:rFonts w:ascii="Arial" w:hAnsi="Arial"/>
          <w:sz w:val="19"/>
        </w:rPr>
        <w:t xml:space="preserve">Our amended and restated certificate of incorporation upon the closing of this offering will contain provisions limiting the liability of directors, and our amended and restated bylaws that will be in effect upon the closing of this offering will provide that we will indemnify each of our directors and officers to the fullest extent permitted under Delaware law. Our amended and restated certificate of incorporation and amended and restated bylaws upon the closing of this offering will also provide our board of directors with discretion to indemnify our employees and other agents when determined appropriate by the board. </w:t>
      </w:r>
    </w:p>
    <w:p>
      <w:pPr>
        <w:pStyle w:val="TextBody"/>
        <w:bidi w:val="0"/>
        <w:spacing w:before="180" w:after="0"/>
        <w:jc w:val="left"/>
        <w:rPr>
          <w:rFonts w:ascii="Arial" w:hAnsi="Arial"/>
          <w:sz w:val="19"/>
        </w:rPr>
      </w:pPr>
      <w:r>
        <w:rPr>
          <w:rFonts w:ascii="Arial" w:hAnsi="Arial"/>
          <w:sz w:val="19"/>
        </w:rPr>
        <w:t xml:space="preserve">In addition, we have entered, or intend to enter, into an indemnification agreement with each of our directors and executive officers, which requires us to indemnify them. For more information regarding these agreements, see the section titled “Executive and Director Compensation—Limitations of Liability and Indemnification Matters.” </w:t>
      </w:r>
    </w:p>
    <w:p>
      <w:pPr>
        <w:pStyle w:val="TextBody"/>
        <w:bidi w:val="0"/>
        <w:spacing w:before="240" w:after="0"/>
        <w:jc w:val="left"/>
        <w:rPr>
          <w:rFonts w:ascii="Arial" w:hAnsi="Arial"/>
          <w:b/>
          <w:sz w:val="20"/>
        </w:rPr>
      </w:pPr>
      <w:r>
        <w:rPr>
          <w:rFonts w:ascii="Arial" w:hAnsi="Arial"/>
          <w:b/>
          <w:sz w:val="20"/>
        </w:rPr>
        <w:t xml:space="preserve">Equity Awards to Directors and Executive Officers </w:t>
      </w:r>
    </w:p>
    <w:p>
      <w:pPr>
        <w:pStyle w:val="TextBody"/>
        <w:bidi w:val="0"/>
        <w:spacing w:before="80" w:after="0"/>
        <w:jc w:val="left"/>
        <w:rPr>
          <w:rFonts w:ascii="Arial" w:hAnsi="Arial"/>
          <w:sz w:val="19"/>
        </w:rPr>
      </w:pPr>
      <w:r>
        <w:rPr>
          <w:rFonts w:ascii="Arial" w:hAnsi="Arial"/>
          <w:sz w:val="19"/>
        </w:rPr>
        <w:t xml:space="preserve">We have granted equity awards to our directors and executive officers, as more fully described in the section titled “Executive and Director Compensation.” </w:t>
      </w:r>
    </w:p>
    <w:p>
      <w:pPr>
        <w:pStyle w:val="TextBody"/>
        <w:bidi w:val="0"/>
        <w:spacing w:before="180" w:after="0"/>
        <w:jc w:val="left"/>
        <w:rPr>
          <w:rFonts w:ascii="Arial" w:hAnsi="Arial"/>
          <w:sz w:val="19"/>
        </w:rPr>
      </w:pPr>
      <w:r>
        <w:rPr>
          <w:rFonts w:ascii="Arial" w:hAnsi="Arial"/>
          <w:sz w:val="19"/>
        </w:rPr>
        <w:t xml:space="preserve">Electra LLC has also granted equity awards through the grant of Profits Interest Units to our directors and executive officers. For a description of the 2023 Plan, see the section titled “Executive Director Compensation – Electra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Therapeutics LLC 2023 Equity Incentive Plan.” In addition, the following table summarizes the Profits Interest Units granted to our directors and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9"/>
        <w:gridCol w:w="138"/>
        <w:gridCol w:w="92"/>
        <w:gridCol w:w="1529"/>
        <w:gridCol w:w="60"/>
        <w:gridCol w:w="138"/>
        <w:gridCol w:w="60"/>
        <w:gridCol w:w="1175"/>
        <w:gridCol w:w="64"/>
      </w:tblGrid>
      <w:tr>
        <w:trPr/>
        <w:tc>
          <w:tcPr>
            <w:tcW w:w="694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49"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PARTICIPANTS</w:t>
            </w:r>
          </w:p>
        </w:tc>
        <w:tc>
          <w:tcPr>
            <w:tcW w:w="138" w:type="dxa"/>
            <w:tcBorders/>
            <w:vAlign w:val="bottom"/>
          </w:tcPr>
          <w:p>
            <w:pPr>
              <w:pStyle w:val="TableContents"/>
              <w:bidi w:val="0"/>
              <w:spacing w:before="0" w:after="283"/>
              <w:jc w:val="left"/>
              <w:rPr/>
            </w:pPr>
            <w:r>
              <w:rPr/>
              <w:t>  </w:t>
            </w:r>
          </w:p>
        </w:tc>
        <w:tc>
          <w:tcPr>
            <w:tcW w:w="162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PROFITS</w:t>
              <w:br/>
              <w:t>INTEREST</w:t>
              <w:br/>
              <w:t>UNITS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35" w:type="dxa"/>
            <w:gridSpan w:val="2"/>
            <w:tcBorders>
              <w:bottom w:val="single" w:sz="2" w:space="0" w:color="000000"/>
            </w:tcBorders>
            <w:tcMar>
              <w:bottom w:w="28" w:type="dxa"/>
            </w:tcMar>
            <w:vAlign w:val="bottom"/>
          </w:tcPr>
          <w:p>
            <w:pPr>
              <w:pStyle w:val="TableContents"/>
              <w:bidi w:val="0"/>
              <w:spacing w:before="0" w:after="283"/>
              <w:jc w:val="center"/>
              <w:rPr/>
            </w:pPr>
            <w:r>
              <w:rPr>
                <w:b/>
              </w:rPr>
              <w:t>MARKET</w:t>
              <w:br/>
              <w:t>VALUE</w:t>
            </w:r>
            <w:r>
              <w:rPr/>
              <w:br/>
            </w:r>
            <w:r>
              <w:rPr>
                <w:b/>
              </w:rPr>
              <w:t>($) (6)</w:t>
            </w:r>
          </w:p>
        </w:tc>
        <w:tc>
          <w:tcPr>
            <w:tcW w:w="64" w:type="dxa"/>
            <w:tcBorders/>
            <w:vAlign w:val="bottom"/>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 (1)</w:t>
            </w:r>
          </w:p>
        </w:tc>
        <w:tc>
          <w:tcPr>
            <w:tcW w:w="13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2,345,871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2,426,291</w:t>
            </w:r>
          </w:p>
        </w:tc>
        <w:tc>
          <w:tcPr>
            <w:tcW w:w="64" w:type="dxa"/>
            <w:tcBorders/>
            <w:shd w:fill="CCEEFF" w:val="clear"/>
            <w:vAlign w:val="bottom"/>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19"/>
              </w:rPr>
            </w:pPr>
            <w:r>
              <w:rPr>
                <w:rFonts w:ascii="Arial" w:hAnsi="Arial"/>
                <w:sz w:val="19"/>
              </w:rPr>
              <w:t>Gary S. Koe, Ph.D. (2)</w:t>
            </w:r>
          </w:p>
        </w:tc>
        <w:tc>
          <w:tcPr>
            <w:tcW w:w="13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270,087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447,562</w:t>
            </w:r>
          </w:p>
        </w:tc>
        <w:tc>
          <w:tcPr>
            <w:tcW w:w="64" w:type="dxa"/>
            <w:tcBorders/>
            <w:vAlign w:val="bottom"/>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19"/>
              </w:rPr>
            </w:pPr>
            <w:r>
              <w:rPr>
                <w:rFonts w:ascii="Arial" w:hAnsi="Arial"/>
                <w:sz w:val="19"/>
              </w:rPr>
              <w:t>Graham Parry, Ph.D. (3)</w:t>
            </w:r>
          </w:p>
        </w:tc>
        <w:tc>
          <w:tcPr>
            <w:tcW w:w="13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486,156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369,478</w:t>
            </w:r>
          </w:p>
        </w:tc>
        <w:tc>
          <w:tcPr>
            <w:tcW w:w="64" w:type="dxa"/>
            <w:tcBorders/>
            <w:shd w:fill="CCEEFF" w:val="clear"/>
            <w:vAlign w:val="bottom"/>
          </w:tcPr>
          <w:p>
            <w:pPr>
              <w:pStyle w:val="TableContents"/>
              <w:bidi w:val="0"/>
              <w:spacing w:before="0" w:after="283"/>
              <w:jc w:val="left"/>
              <w:rPr/>
            </w:pPr>
            <w:r>
              <w:rPr/>
              <w:t> </w:t>
            </w:r>
          </w:p>
        </w:tc>
      </w:tr>
      <w:tr>
        <w:trPr/>
        <w:tc>
          <w:tcPr>
            <w:tcW w:w="6949" w:type="dxa"/>
            <w:tcBorders/>
          </w:tcPr>
          <w:p>
            <w:pPr>
              <w:pStyle w:val="TableContents"/>
              <w:bidi w:val="0"/>
              <w:spacing w:before="0" w:after="0"/>
              <w:jc w:val="left"/>
              <w:rPr>
                <w:rFonts w:ascii="Arial" w:hAnsi="Arial"/>
                <w:sz w:val="19"/>
              </w:rPr>
            </w:pPr>
            <w:r>
              <w:rPr>
                <w:rFonts w:ascii="Arial" w:hAnsi="Arial"/>
                <w:sz w:val="19"/>
              </w:rPr>
              <w:t>Adam Rosenthal, Ph.D. (4)</w:t>
            </w:r>
          </w:p>
        </w:tc>
        <w:tc>
          <w:tcPr>
            <w:tcW w:w="13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9" w:type="dxa"/>
            <w:tcBorders/>
            <w:vAlign w:val="bottom"/>
          </w:tcPr>
          <w:p>
            <w:pPr>
              <w:pStyle w:val="TableContents"/>
              <w:bidi w:val="0"/>
              <w:spacing w:before="0" w:after="283"/>
              <w:jc w:val="right"/>
              <w:rPr/>
            </w:pPr>
            <w:r>
              <w:rPr/>
              <w:t>5,617,828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13,536,813</w:t>
            </w:r>
          </w:p>
        </w:tc>
        <w:tc>
          <w:tcPr>
            <w:tcW w:w="64" w:type="dxa"/>
            <w:tcBorders/>
            <w:vAlign w:val="bottom"/>
          </w:tcPr>
          <w:p>
            <w:pPr>
              <w:pStyle w:val="TableContents"/>
              <w:bidi w:val="0"/>
              <w:spacing w:before="0" w:after="283"/>
              <w:jc w:val="left"/>
              <w:rPr/>
            </w:pPr>
            <w:r>
              <w:rPr/>
              <w:t> </w:t>
            </w:r>
          </w:p>
        </w:tc>
      </w:tr>
      <w:tr>
        <w:trPr/>
        <w:tc>
          <w:tcPr>
            <w:tcW w:w="6949" w:type="dxa"/>
            <w:tcBorders/>
            <w:shd w:fill="CCEEFF" w:val="clear"/>
          </w:tcPr>
          <w:p>
            <w:pPr>
              <w:pStyle w:val="TableContents"/>
              <w:bidi w:val="0"/>
              <w:spacing w:before="0" w:after="0"/>
              <w:jc w:val="left"/>
              <w:rPr>
                <w:rFonts w:ascii="Arial" w:hAnsi="Arial"/>
                <w:sz w:val="19"/>
              </w:rPr>
            </w:pPr>
            <w:r>
              <w:rPr>
                <w:rFonts w:ascii="Arial" w:hAnsi="Arial"/>
                <w:sz w:val="19"/>
              </w:rPr>
              <w:t>Nancy Stagliano, Ph.D. (5)</w:t>
            </w:r>
          </w:p>
        </w:tc>
        <w:tc>
          <w:tcPr>
            <w:tcW w:w="13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9" w:type="dxa"/>
            <w:tcBorders/>
            <w:shd w:fill="CCEEFF" w:val="clear"/>
            <w:vAlign w:val="bottom"/>
          </w:tcPr>
          <w:p>
            <w:pPr>
              <w:pStyle w:val="TableContents"/>
              <w:bidi w:val="0"/>
              <w:spacing w:before="0" w:after="283"/>
              <w:jc w:val="right"/>
              <w:rPr/>
            </w:pPr>
            <w:r>
              <w:rPr/>
              <w:t>1,080,348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1,805,424</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(1)</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Dr. Dong is a member of our board of directors and our President and Chief Executive Officer.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right"/>
              <w:rPr/>
            </w:pPr>
            <w:r>
              <w:rPr/>
              <w:t>(2)</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Dr. Koe is our Chief Technical Officer.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(3)</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Dr. Parry is our Chief Scientific Officer. </w:t>
            </w:r>
          </w:p>
        </w:tc>
      </w:tr>
    </w:tbl>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right"/>
              <w:rPr/>
            </w:pPr>
            <w:r>
              <w:rPr/>
              <w:t>(4)</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Dr. Rosenthal is a former member of our board of directors.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(5)</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Dr. Stagliano is a member of our board of directors.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(6)</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market value is based on the fair market value of our Profits Interest Units as of December 31, 2025 of $2.53 per unit less the aggregate distribution threshold of the Profits Interest Units. </w:t>
            </w:r>
          </w:p>
        </w:tc>
      </w:tr>
    </w:tbl>
    <w:p>
      <w:pPr>
        <w:pStyle w:val="TextBody"/>
        <w:bidi w:val="0"/>
        <w:spacing w:before="180" w:after="0"/>
        <w:jc w:val="left"/>
        <w:rPr>
          <w:rFonts w:ascii="Arial" w:hAnsi="Arial"/>
          <w:sz w:val="19"/>
        </w:rPr>
      </w:pPr>
      <w:r>
        <w:rPr>
          <w:rFonts w:ascii="Arial" w:hAnsi="Arial"/>
          <w:sz w:val="19"/>
        </w:rPr>
        <w:t xml:space="preserve">Additionally, in November 2023, we entered into a letter agreement (the Rosenthal Letter Agreement) with Adam Rosenthal, Ph.D., a former member of our board of directors. Pursuant to the Rosenthal Letter Agreement, we granted Dr. Rosenthal the right to the continued vesting of certain unvested common units of Electra LLC previously granted to Dr. Rosenthal under the Electra LLC equity incentive plan, subject to his continued service as a member of our board of directors. In October 2025, we amended the Rosenthal Letter Agreement to provide that Dr. Rosenthal would also be eligible to receive an annual cash retainer of $25,000. The value of the continued vesting of the unvested common units of Electra LLC previously granted to Dr. Rosenthal under the Electra LLC equity incentive plan had a fair market value of $160,679. </w:t>
      </w:r>
    </w:p>
    <w:p>
      <w:pPr>
        <w:pStyle w:val="TextBody"/>
        <w:bidi w:val="0"/>
        <w:spacing w:before="240" w:after="0"/>
        <w:jc w:val="left"/>
        <w:rPr>
          <w:rFonts w:ascii="Arial" w:hAnsi="Arial"/>
          <w:b/>
          <w:sz w:val="20"/>
        </w:rPr>
      </w:pPr>
      <w:r>
        <w:rPr>
          <w:rFonts w:ascii="Arial" w:hAnsi="Arial"/>
          <w:b/>
          <w:sz w:val="20"/>
        </w:rPr>
        <w:t xml:space="preserve">Policies and Procedures for Related Person Transactions </w:t>
      </w:r>
    </w:p>
    <w:p>
      <w:pPr>
        <w:pStyle w:val="TextBody"/>
        <w:bidi w:val="0"/>
        <w:spacing w:before="80" w:after="0"/>
        <w:jc w:val="left"/>
        <w:rPr>
          <w:rFonts w:ascii="Arial" w:hAnsi="Arial"/>
          <w:sz w:val="19"/>
        </w:rPr>
      </w:pPr>
      <w:r>
        <w:rPr>
          <w:rFonts w:ascii="Arial" w:hAnsi="Arial"/>
          <w:sz w:val="19"/>
        </w:rPr>
        <w:t xml:space="preserve">Prior to the closing of this offering, we will adopt a written related person transactions policy that sets forth our policies and procedures regarding the identification, review, consideration, and continuing oversight of “related person transactions.” For purposes of our policy only, a “related person transaction” is a transaction, arrangement, or relationship (or any series of similar transactions, arrangements, or relationships) in which we and any “related person” are participants involving an amount that exceeds the lesser of $120,000 or 1% of the average of our total assets at year-end for the last two completed fiscal years. 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any of their immediate family members and affiliates, and entities owned or controlled by such persons or entities in which such person has a 5% or greater beneficial ownership interest. </w:t>
      </w:r>
    </w:p>
    <w:p>
      <w:pPr>
        <w:pStyle w:val="TextBody"/>
        <w:bidi w:val="0"/>
        <w:spacing w:before="180" w:after="0"/>
        <w:jc w:val="left"/>
        <w:rPr>
          <w:rFonts w:ascii="Arial" w:hAnsi="Arial"/>
          <w:sz w:val="19"/>
        </w:rPr>
      </w:pPr>
      <w:r>
        <w:rPr>
          <w:rFonts w:ascii="Arial" w:hAnsi="Arial"/>
          <w:sz w:val="19"/>
        </w:rPr>
        <w:t xml:space="preserve">Under the policy, where a transaction has been identified as a related person transaction, management must present information regarding the proposed related person transaction to our audit committee (or, where review by our audit committee would be inappropriate for reasons of conflict of interest or otherwise, to another independent body of our board of directors) for review. The presentation must include a description of, among other things, all of the parties 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or to employees generally, and management’s recommendation. To identify related person transactions in advance, we rely on information supplied by our executive officers, directors, and certain significant stockholders. In considering related person transactions, our audit committee or another independent body of our board of directors takes into account the relevant available facts and circumstances including, but not limited to: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risks, costs, and benefits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impact on a director’s independence in the event the related person is a director, immediate family member of a director, or an entity with which a director is 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terms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availability of other sources for comparable services or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terms available to or from, as the case may be, unrelated third parties. </w:t>
            </w:r>
          </w:p>
        </w:tc>
      </w:tr>
    </w:tbl>
    <w:p>
      <w:pPr>
        <w:pStyle w:val="TextBody"/>
        <w:bidi w:val="0"/>
        <w:spacing w:before="180" w:after="0"/>
        <w:jc w:val="left"/>
        <w:rPr>
          <w:rFonts w:ascii="Arial" w:hAnsi="Arial"/>
          <w:sz w:val="19"/>
        </w:rPr>
      </w:pPr>
      <w:r>
        <w:rPr>
          <w:rFonts w:ascii="Arial" w:hAnsi="Arial"/>
          <w:sz w:val="19"/>
        </w:rPr>
        <w:t xml:space="preserve">In the event a director has an interest in the proposed transaction, the director must recuse himself or herself from the deliberations and approval.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6" w:name="toc61940_14"/>
      <w:bookmarkEnd w:id="16"/>
      <w:r>
        <w:rPr>
          <w:rFonts w:ascii="Arial" w:hAnsi="Arial"/>
          <w:b/>
          <w:sz w:val="20"/>
        </w:rPr>
        <w:t xml:space="preserve">PRINCIPAL STOCKHOLDERS </w:t>
      </w:r>
    </w:p>
    <w:p>
      <w:pPr>
        <w:pStyle w:val="TextBody"/>
        <w:bidi w:val="0"/>
        <w:spacing w:before="360" w:after="0"/>
        <w:jc w:val="left"/>
        <w:rPr>
          <w:rFonts w:ascii="Arial" w:hAnsi="Arial"/>
          <w:sz w:val="19"/>
        </w:rPr>
      </w:pPr>
      <w:r>
        <w:rPr>
          <w:rFonts w:ascii="Arial" w:hAnsi="Arial"/>
          <w:sz w:val="19"/>
        </w:rPr>
        <w:t xml:space="preserve">The following table sets forth information with respect to the beneficial ownership of our capital stock as of    , 2026, as adjusted to reflect the sale of our common stock offered by us in this offering assuming no exercise of the underwriters’ option to purchase additional shares,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each of our current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all of our current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each person or group of affiliated persons known by us to beneficially own more than 5% of our common stock. </w:t>
            </w:r>
          </w:p>
        </w:tc>
      </w:tr>
    </w:tbl>
    <w:p>
      <w:pPr>
        <w:pStyle w:val="TextBody"/>
        <w:bidi w:val="0"/>
        <w:spacing w:before="180" w:after="0"/>
        <w:jc w:val="left"/>
        <w:rPr>
          <w:rFonts w:ascii="Arial" w:hAnsi="Arial"/>
          <w:sz w:val="19"/>
        </w:rPr>
      </w:pPr>
      <w:r>
        <w:rPr>
          <w:rFonts w:ascii="Arial" w:hAnsi="Arial"/>
          <w:sz w:val="19"/>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80" w:after="0"/>
        <w:jc w:val="left"/>
        <w:rPr>
          <w:rFonts w:ascii="Arial" w:hAnsi="Arial"/>
          <w:sz w:val="19"/>
        </w:rPr>
      </w:pPr>
      <w:r>
        <w:rPr>
          <w:rFonts w:ascii="Arial" w:hAnsi="Arial"/>
          <w:sz w:val="19"/>
        </w:rPr>
        <w:t xml:space="preserve">Applicable percentage ownership before the offering is based on    shares of our common stock outstanding as of    , 2026, assuming the automatic conversion of all outstanding shares of our redeemable convertible preferred stock into 59,114,361 shares of our common stock immediately prior to the closing of this offering. Applicable percentage ownership after the offering is based on the sale of     shares of our common stock in this offering, assuming no exercise by the underwriters of their option to purchase additional shares. In computing the number of shares beneficially owned by a person and the percentage ownership of such person, we deemed to be outstanding all shares subject to options held by the person that are currently exercisable, or exercisable within 60 days of    , 2026. However, except as described above, we did not deem such shares outstanding for the purpose of computing the percentage ownership of any other person. </w:t>
      </w:r>
    </w:p>
    <w:p>
      <w:pPr>
        <w:pStyle w:val="TextBody"/>
        <w:bidi w:val="0"/>
        <w:spacing w:before="180" w:after="0"/>
        <w:jc w:val="left"/>
        <w:rPr>
          <w:rFonts w:ascii="Arial" w:hAnsi="Arial"/>
          <w:sz w:val="19"/>
        </w:rPr>
      </w:pPr>
      <w:r>
        <w:rPr>
          <w:rFonts w:ascii="Arial" w:hAnsi="Arial"/>
          <w:sz w:val="19"/>
        </w:rPr>
        <w:t xml:space="preserve">Unless otherwise indicated, the address of each beneficial owner listed below is c/o Electra Therapeutics, Inc., 230 E Grand Avenue, Suite S-100, South San Francisco, California 94080.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180" w:after="0"/>
        <w:jc w:val="left"/>
        <w:rPr>
          <w:rFonts w:ascii="Arial" w:hAnsi="Arial"/>
          <w:sz w:val="19"/>
        </w:rPr>
      </w:pPr>
      <w:r>
        <w:rPr>
          <w:rFonts w:ascii="Arial" w:hAnsi="Arial"/>
          <w:sz w:val="19"/>
        </w:rPr>
        <w:t xml:space="preserve">The following table does not reflect any potential purchases by our executive officers, directors, their affiliated entities, holders of more than 5% of our common stock in this offering, or any equity awards granted to our executive officers or directors contingent on this offering. If any shares are purchased by and to the extent any such equity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awards have been granted to these persons or entities, the number and percentage of shares of our common stock beneficially owned by them after this offering will differ from the amounts set forth in the following table.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2"/>
        <w:gridCol w:w="123"/>
        <w:gridCol w:w="557"/>
        <w:gridCol w:w="558"/>
        <w:gridCol w:w="208"/>
        <w:gridCol w:w="419"/>
        <w:gridCol w:w="323"/>
        <w:gridCol w:w="1407"/>
        <w:gridCol w:w="275"/>
        <w:gridCol w:w="63"/>
        <w:gridCol w:w="556"/>
        <w:gridCol w:w="558"/>
        <w:gridCol w:w="208"/>
        <w:gridCol w:w="419"/>
        <w:gridCol w:w="323"/>
        <w:gridCol w:w="1407"/>
        <w:gridCol w:w="279"/>
      </w:tblGrid>
      <w:tr>
        <w:trPr/>
        <w:tc>
          <w:tcPr>
            <w:tcW w:w="25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2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47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PRIOR TO</w:t>
              <w:br/>
              <w:t>OFFERING</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47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SHARES BENEFICIALLY</w:t>
              <w:br/>
              <w:t>OWNED AFTER</w:t>
              <w:br/>
              <w:t>OFFERING</w:t>
            </w:r>
          </w:p>
        </w:tc>
        <w:tc>
          <w:tcPr>
            <w:tcW w:w="279" w:type="dxa"/>
            <w:tcBorders/>
            <w:vAlign w:val="bottom"/>
          </w:tcPr>
          <w:p>
            <w:pPr>
              <w:pStyle w:val="TableContents"/>
              <w:bidi w:val="0"/>
              <w:spacing w:before="0" w:after="283"/>
              <w:jc w:val="left"/>
              <w:rPr/>
            </w:pPr>
            <w:r>
              <w:rPr/>
              <w:t> </w:t>
            </w:r>
          </w:p>
        </w:tc>
      </w:tr>
      <w:tr>
        <w:trPr/>
        <w:tc>
          <w:tcPr>
            <w:tcW w:w="2522"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NAME OF BENEFICIAL OWNER</w:t>
            </w:r>
          </w:p>
        </w:tc>
        <w:tc>
          <w:tcPr>
            <w:tcW w:w="123"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20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w:t>
            </w:r>
          </w:p>
        </w:tc>
        <w:tc>
          <w:tcPr>
            <w:tcW w:w="208"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7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PERCENTAGE</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b/>
                <w:sz w:val="19"/>
              </w:rPr>
            </w:pPr>
            <w:r>
              <w:rPr>
                <w:rFonts w:ascii="Arial" w:hAnsi="Arial"/>
                <w:b/>
                <w:sz w:val="19"/>
              </w:rPr>
              <w:t>5% or Greater Stockholders:</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0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2522" w:type="dxa"/>
            <w:tcBorders/>
          </w:tcPr>
          <w:p>
            <w:pPr>
              <w:pStyle w:val="TableContents"/>
              <w:bidi w:val="0"/>
              <w:spacing w:before="0" w:after="0"/>
              <w:jc w:val="left"/>
              <w:rPr>
                <w:rFonts w:ascii="Arial" w:hAnsi="Arial"/>
                <w:sz w:val="19"/>
              </w:rPr>
            </w:pPr>
            <w:r>
              <w:rPr>
                <w:rFonts w:ascii="Arial" w:hAnsi="Arial"/>
                <w:sz w:val="19"/>
              </w:rPr>
              <w:t>Electra Therapeutics LLC (1)</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OrbiMed (2)</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Entities affiliated with Westlake BioPartners (3)</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Redmile Biopharma Investments II, L.P. (4)</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Aventis Inc. (5)</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LSP 7 Coöperatief U.A. (6)</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Entities affiliated with New Leaf Ventures (7)</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Entities affiliated with Cormorant Asset Management LP (8)</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b/>
                <w:sz w:val="19"/>
              </w:rPr>
            </w:pPr>
            <w:r>
              <w:rPr>
                <w:rFonts w:ascii="Arial" w:hAnsi="Arial"/>
                <w:b/>
                <w:sz w:val="19"/>
              </w:rPr>
              <w:t>Named Executive Officers and Directors:</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sz w:val="4"/>
                <w:szCs w:val="4"/>
              </w:rPr>
            </w:pPr>
            <w:r>
              <w:rPr>
                <w:sz w:val="4"/>
                <w:szCs w:val="4"/>
              </w:rPr>
            </w:r>
          </w:p>
        </w:tc>
        <w:tc>
          <w:tcPr>
            <w:tcW w:w="140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sz w:val="4"/>
                <w:szCs w:val="4"/>
              </w:rPr>
            </w:pPr>
            <w:r>
              <w:rPr>
                <w:sz w:val="4"/>
                <w:szCs w:val="4"/>
              </w:rPr>
            </w:r>
          </w:p>
        </w:tc>
        <w:tc>
          <w:tcPr>
            <w:tcW w:w="1407"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Quehuong (Kathy) Dong, Pharm.D., M.B.A. (9)</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Gary S. Koe, Ph.D. (10)</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Kim-Hien Dao (11)</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Matthew Fust, M.B.A. (12)</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Thomas Geninatti, Ph.D.</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Carl L. Gordon, Ph.D., C.F.A. (13)</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tcPr>
          <w:p>
            <w:pPr>
              <w:pStyle w:val="TableContents"/>
              <w:bidi w:val="0"/>
              <w:spacing w:before="0" w:after="0"/>
              <w:jc w:val="left"/>
              <w:rPr>
                <w:rFonts w:ascii="Arial" w:hAnsi="Arial"/>
                <w:sz w:val="19"/>
              </w:rPr>
            </w:pPr>
            <w:r>
              <w:rPr>
                <w:rFonts w:ascii="Arial" w:hAnsi="Arial"/>
                <w:sz w:val="19"/>
              </w:rPr>
              <w:t>Beth Seidenberg, M.D. (14)</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22" w:type="dxa"/>
            <w:tcBorders/>
          </w:tcPr>
          <w:p>
            <w:pPr>
              <w:pStyle w:val="TableContents"/>
              <w:bidi w:val="0"/>
              <w:spacing w:before="0" w:after="0"/>
              <w:jc w:val="left"/>
              <w:rPr>
                <w:rFonts w:ascii="Arial" w:hAnsi="Arial"/>
                <w:sz w:val="19"/>
              </w:rPr>
            </w:pPr>
            <w:r>
              <w:rPr>
                <w:rFonts w:ascii="Arial" w:hAnsi="Arial"/>
                <w:sz w:val="19"/>
              </w:rPr>
              <w:t>Nancy Stagliano, Ph.D. (15)</w:t>
            </w:r>
          </w:p>
        </w:tc>
        <w:tc>
          <w:tcPr>
            <w:tcW w:w="12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22" w:type="dxa"/>
            <w:tcBorders/>
            <w:shd w:fill="CCEEFF" w:val="clear"/>
            <w:vAlign w:val="bottom"/>
          </w:tcPr>
          <w:p>
            <w:pPr>
              <w:pStyle w:val="TableContents"/>
              <w:bidi w:val="0"/>
              <w:spacing w:before="0" w:after="0"/>
              <w:jc w:val="left"/>
              <w:rPr>
                <w:rFonts w:ascii="Arial" w:hAnsi="Arial"/>
                <w:sz w:val="19"/>
              </w:rPr>
            </w:pPr>
            <w:r>
              <w:rPr>
                <w:rFonts w:ascii="Arial" w:hAnsi="Arial"/>
                <w:sz w:val="19"/>
              </w:rPr>
              <w:t>All directors and executive officers as a group (10 persons) (16)</w:t>
            </w:r>
          </w:p>
        </w:tc>
        <w:tc>
          <w:tcPr>
            <w:tcW w:w="123"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sz w:val="19"/>
              </w:rPr>
            </w:pPr>
            <w:r>
              <w:rPr>
                <w:sz w:val="19"/>
              </w:rPr>
              <w:t>% </w:t>
            </w:r>
          </w:p>
        </w:tc>
        <w:tc>
          <w:tcPr>
            <w:tcW w:w="6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sz w:val="4"/>
                <w:szCs w:val="4"/>
              </w:rPr>
            </w:pPr>
            <w:r>
              <w:rPr>
                <w:sz w:val="4"/>
                <w:szCs w:val="4"/>
              </w:rPr>
            </w:r>
          </w:p>
        </w:tc>
        <w:tc>
          <w:tcPr>
            <w:tcW w:w="558"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1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sz w:val="19"/>
              </w:rPr>
            </w:pPr>
            <w:r>
              <w:rPr>
                <w:sz w:val="19"/>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(1) </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Consists of    shares of common stock issuable upon conversion of our Series A redeemable convertible preferred stock. Prior to the closing of this offering, Electra LLC expects to distribute shares of Series A redeemable convertible preferred stock to its members (the LLC Distribution). Each of OPI VII, Westlake BioPartners Fund I, LP (Westlake Fund I), Redmile, New Leaf Biopharma Opportunities II, L.P. (New Leaf II), New Leaf Ventures IV, L.P. (New Leaf IV), Cormorant Global Master Fund, LP (Cormorant Master Fund), Cormorant Private Healthcare Fund II, LP (Cormorant Fund II), Dr. Stagliano, Dr. Dong, Dr. Koe, and certain other executive officers hold outstanding units in Electra LLC and will receive shares of Series A redeemable convertible preferred stock in connection with the LLC Distribution, in each case, as further described in their respective footnotes below. Electra LLC is governed by a board of managers comprised of Dr. Dong, Dr. Gordon, Dr. Seidenberg, and Dr. Stagliano. No individual board member holds sole or shared voting or dispositive control over the shares held by Electra LLC, and each expressly disclaims beneficial ownership of such shares.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(2)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number of shares beneficially owned prior to the offering consists of (i)    shares of common stock issuable upon conversion of our Series B redeemable convertible preferred stock held by OPI VII, (ii)    shares of common stock issuable upon conversion of our Series C redeemable convertible preferred stock held by OPI VII, and (iii)    shares of common stock issuable upon conversion of our Series C redeemable convertible preferred stock held by Orbi Genesis, but excludes any shares to be distributed to OPI VII in connection with the LLC Distribution. In connection with the LLC Distribution, OPI VII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GP VII is the general partner of OPI VII. Genesis GP is the general partner of Orbi Genesis and OrbiMed Advisors is the managing member of GP VII and Genesis GP. By virtue of such relationships, GP VII, Genesis GP, and OrbiMed Advisors may be deemed to have voting power and investment power over the shares held by OPI VII and Orbi Genesis, and may be deemed to have voting power and investment power over the shares held by OPI VII following the LLC Distribution, and as a result, may be deemed to have beneficial ownership of such shares. OrbiMed Advisors exercises voting and investment power through a management committee comprised of Carl L. Gordon, Sven H. Borho, and W. Carter Neild, each of whom disclaims beneficial ownership of the shares held by OPI VII and Orbi Genesis. The principal business address of each of the foregoing entities and individuals is 601 Lexington Avenue, 54th Floor, New York, NY 10022.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(3)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16"/>
              </w:rPr>
            </w:pPr>
            <w:r>
              <w:rPr>
                <w:rFonts w:ascii="Arial" w:hAnsi="Arial"/>
                <w:sz w:val="16"/>
              </w:rPr>
              <w:t xml:space="preserve">The number of shares beneficially owned prior to the offering consists of (i)    shares of common stock issuable upon conversion of our Series B redeemable convertible preferred stock and (ii)    shares of common stock issuable upon conversion of our Series C redeemable convertible preferred stock held by Westlake BioPartners Fund II, LP (Westlake Fund II), but excludes any shares to be distributed to Westlake Fund I in connection with the LLC Distribution. In connection with the LLC Distribution, Westlake Fund I expects to receive     shares of common stock issuable upon conversion of our Series A redeemable convertible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Westlake BioPartners GP II, LLC (Westlake GP II), the general partner of Westlake Fund II, may be deemed to have sole voting and dispositive power over the shares held by Westlake Fund II. Westlake BioPartners GP I, LLC (Westlake GP I), the general partner of Westlake Fund I, may be deemed to have sole voting and dispositive power over the shares held by Westlake Fund I following the LLC Distribution. Dr. Seidenberg and Dr. Sean E. Harper, the managing directors of Westlake GP II and Westlake GP I, may be deemed to have shared power to vote and dispose of these shares. The principal business address for each of the foregoing entities and individuals is c/o Westlake BioPartners, LLC, 3075 Townsgate Road, Suite 140, Westlake Village, California 91361.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(4)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 consists of (i) shares of common stock issuable upon conversion of our Series B redeemable convertible preferred stock and (ii)     shares of common stock issuable upon conversion of our Series C redeemable convertible preferred stock held by Redmile, but excludes any shares to be distributed to Redmile in connection with the LLC Distribution. In connection with the LLC Distribution, Redmile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The shares held by Redmile may be deemed beneficially owned by Redmile Group, LLC (Redmile Group) as investment manager of Redmile, and may be deemed to beneficially own the shares held by Redmile following the LLC Distribution. The reported securities may also be deemed beneficially owned by Jeremy Green as the principal of Redmile Group, who may also be deemed to beneficially own the shares held by Redmile following the LLC Distribution. Each of Redmile Group and Mr. Green disclaims beneficial ownership of the reported securities except to the extent of their pecuniary interest therein. The principal business address for each of the foregoing entities and individuals is One Letterman Drive, Building D Suite D3-300, San Francisco, California, 94129.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(5)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Consists of    shares of common stock issuable upon conversion of our Series C redeemable convertible preferred stock. Sanofi is a wholly-owned subsidiary of Sanofi S.A., a French société anonyme (limited liability company), which may be deemed to have voting and dispositive power over the shares held by Sanofi. The address of Sanofi is c/o Sanofi—Global Alliance Management, 450 Water Street, Cambridge, MA 02141.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(6)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Consists of    shares of common stock issuable upon conversion of our Series C redeemable convertible preferred stock. As the sole director of LSP 7 Coöperatief UA, LSP 7 Management BV may be deemed to beneficially own these shares. As managing directors of LSP 7 Management BV, each of Martijn Kleijwegt, René Kuijten, and Joachim Rothe may also be deemed to beneficially own these shares. The business address of LSP 7 Coöperatief UA is Johannes Vermeerplein 9 1071 DV Amsterdam, Netherlands.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(7)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number of shares beneficially owned prior to the offerings consists of (a) (i)    shares of common stock issuable upon the conversion of our Series B redeemable convertible preferred stock and (ii)    shares of common stock issuable upon conversion of our Series C redeemable convertible preferred stock held by New Leaf II, and (b) (i)    shares of common stock issuable upon conversion of our Series B redeemable convertible preferred stock and (ii)    shares of common stock issuable upon conversion of Series C redeemable convertible preferred stock held by New Leaf IV, but, in each case, excludes any shares to be distributed to New Leaf II and New Leaf IV in connection with the LLC Distribution. In connection with the LLC Distribution, (x) New Leaf II expects to receive     shares of common stock issuable upon conversion of our Series A redeemable convertible preferred stock and (y) New Leaf IV expects to receive     shares of common stock issuable upon conversion of our Series A redeemable convertible preferred stock, each of which assumes that Electra LLC uses the midpoint of the range set forth on the cover of this prospectus for purposes of valuing a share of Series A redeemable convertible preferred stock. The shares received upon the LLC Distribution are included in the number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right"/>
              <w:rPr/>
            </w:pPr>
            <w:r>
              <w:rPr/>
              <w:t>(8)</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The number of shares beneficially owned prior to the offerings consists of (a) (i)    shares of common stock issuable upon conversion of our Series B redeemable convertible preferred stock and (ii) shares of common stock issuable upon conversion of our Series C redeemable convertible preferred stock held by Cormorant Master Fund; (b)     shares of common stock issuable upon conversion of our Series C redeemable convertible preferred stock held by Cormorant Fund II; (c)     shares of common stock issuable upon conversion of our Series B redeemable convertible preferred stock held by Cormorant Healthcare Fund IV, LP (Cormorant Fund IV); and (d)     shares of common stock issuable upon conversion of our Series C redeemable convertible preferred stock held by Cormorant Healthcare Fund V, LP (Cormorant Fund V), but excludes, in each case, any shares to be distributed to Cormorant Master Fund and Cormorant Fund II in connection with the LLC Distribution. In connection with the LLC Distribution, (x) Cormorant Master Fund expects to receive shares of common stock issuable upon conversion of our Series A redeemable convertible preferred stock, and (y) Cormorant Fund II expects to receive     shares of common stock issuable upon conversion of our Series A redeemable convertible preferred stock, each of which assumes that Electra LLC uses the midpoint of the range set forth on the cover of this prospectus for purposes of valuing a share of Series A redeemable convertible preferred stock. The shares received upon the LLC Distribution are included in the number shares beneficially owned after the offering. Cormorant Asset Management LP is the investment manager to Cormorant Master Fund, Cormorant Fund II, Cormorant Fund IV, and Cormorant Fund V, and, in such capacity, exercises shared voting and dispositive power over the shares held by the entities affiliated with Cormorant Asset Management LP and may be deemed to beneficially own such shares. Bihua Chen serves as the managing member of Cormorant Asset Management LP and, as such, shares voting and dispositive power over the shares held by entities affiliated with Cormorant Asset Management LP. The principal address for the Cormorant Asset Management LP entities is 200 Clarendon Street, 52nd Floor, Boston, Massachusetts 02116.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(9)</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16"/>
              </w:rPr>
            </w:pPr>
            <w:r>
              <w:rPr>
                <w:rFonts w:ascii="Arial" w:hAnsi="Arial"/>
                <w:sz w:val="16"/>
              </w:rPr>
              <w:t xml:space="preserve">The number of shares beneficially owned prior to the offering consists of     shares of common stock issuable upon the exercise of outstanding options as of    , 2026, but excludes any shares to be distributed to Dr. Dong in connection with the LLC Distribution. In connection with the LLC Distribution, Dr. Dong expects to receive    shares of common stock issuable upon conversion of our Series A redeemable convertible preferred stock, which assumes that Electra LLC uses the midpoint of the range set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forth on the cover of this prospectus for purposes of valuing a share of Series A redeemable convertible preferred stock. The shares received upon the LLC Distribution are included in the number of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34"/>
        <w:gridCol w:w="106"/>
        <w:gridCol w:w="9765"/>
      </w:tblGrid>
      <w:tr>
        <w:trPr/>
        <w:tc>
          <w:tcPr>
            <w:tcW w:w="334" w:type="dxa"/>
            <w:tcBorders/>
          </w:tcPr>
          <w:p>
            <w:pPr>
              <w:pStyle w:val="TableContents"/>
              <w:bidi w:val="0"/>
              <w:spacing w:before="0" w:after="283"/>
              <w:jc w:val="right"/>
              <w:rPr/>
            </w:pPr>
            <w:r>
              <w:rPr/>
              <w:t>(10) </w:t>
            </w:r>
          </w:p>
        </w:tc>
        <w:tc>
          <w:tcPr>
            <w:tcW w:w="106" w:type="dxa"/>
            <w:tcBorders/>
          </w:tcPr>
          <w:p>
            <w:pPr>
              <w:pStyle w:val="TableContents"/>
              <w:bidi w:val="0"/>
              <w:spacing w:before="0" w:after="283"/>
              <w:jc w:val="left"/>
              <w:rPr/>
            </w:pPr>
            <w:r>
              <w:rPr/>
              <w:t> </w:t>
            </w:r>
          </w:p>
        </w:tc>
        <w:tc>
          <w:tcPr>
            <w:tcW w:w="9765" w:type="dxa"/>
            <w:tcBorders/>
          </w:tcPr>
          <w:p>
            <w:pPr>
              <w:pStyle w:val="TableContents"/>
              <w:bidi w:val="0"/>
              <w:spacing w:before="0" w:after="283"/>
              <w:jc w:val="left"/>
              <w:rPr/>
            </w:pPr>
            <w:r>
              <w:rPr/>
              <w:t xml:space="preserve">The number of shares beneficially owned prior to the offering consists of    shares of common stock issuable upon the exercise of outstanding options as of    , 2026, but excludes any shares to be distributed to Dr. Koe in connection with the LLC Distribution. In connection with the LLC Distribution, Dr. Koe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(11) </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Consists of     shares of common stock issuable upon the exercise of outstanding options as of    , 2026.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(12) </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Consists of     shares of common stock issuable upon the exercise of outstanding options as of    , 2026. </w:t>
            </w:r>
          </w:p>
        </w:tc>
      </w:tr>
    </w:tbl>
    <w:tbl>
      <w:tblPr>
        <w:tblW w:w="5000" w:type="pct"/>
        <w:jc w:val="left"/>
        <w:tblInd w:w="0" w:type="dxa"/>
        <w:tblLayout w:type="fixed"/>
        <w:tblCellMar>
          <w:top w:w="0" w:type="dxa"/>
          <w:left w:w="0" w:type="dxa"/>
          <w:bottom w:w="0" w:type="dxa"/>
          <w:right w:w="0" w:type="dxa"/>
        </w:tblCellMar>
      </w:tblPr>
      <w:tblGrid>
        <w:gridCol w:w="341"/>
        <w:gridCol w:w="107"/>
        <w:gridCol w:w="9757"/>
      </w:tblGrid>
      <w:tr>
        <w:trPr/>
        <w:tc>
          <w:tcPr>
            <w:tcW w:w="341" w:type="dxa"/>
            <w:tcBorders/>
          </w:tcPr>
          <w:p>
            <w:pPr>
              <w:pStyle w:val="TableContents"/>
              <w:bidi w:val="0"/>
              <w:spacing w:before="0" w:after="283"/>
              <w:jc w:val="right"/>
              <w:rPr/>
            </w:pPr>
            <w:r>
              <w:rPr/>
              <w:t>(13) </w:t>
            </w:r>
          </w:p>
        </w:tc>
        <w:tc>
          <w:tcPr>
            <w:tcW w:w="107"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Consists of the shares described in footnote (2) above. </w:t>
            </w:r>
          </w:p>
        </w:tc>
      </w:tr>
    </w:tbl>
    <w:tbl>
      <w:tblPr>
        <w:tblW w:w="5000" w:type="pct"/>
        <w:jc w:val="left"/>
        <w:tblInd w:w="0" w:type="dxa"/>
        <w:tblLayout w:type="fixed"/>
        <w:tblCellMar>
          <w:top w:w="0" w:type="dxa"/>
          <w:left w:w="0" w:type="dxa"/>
          <w:bottom w:w="0" w:type="dxa"/>
          <w:right w:w="0" w:type="dxa"/>
        </w:tblCellMar>
      </w:tblPr>
      <w:tblGrid>
        <w:gridCol w:w="341"/>
        <w:gridCol w:w="107"/>
        <w:gridCol w:w="9757"/>
      </w:tblGrid>
      <w:tr>
        <w:trPr/>
        <w:tc>
          <w:tcPr>
            <w:tcW w:w="341" w:type="dxa"/>
            <w:tcBorders/>
          </w:tcPr>
          <w:p>
            <w:pPr>
              <w:pStyle w:val="TableContents"/>
              <w:bidi w:val="0"/>
              <w:spacing w:before="0" w:after="283"/>
              <w:jc w:val="right"/>
              <w:rPr/>
            </w:pPr>
            <w:r>
              <w:rPr/>
              <w:t>(14)</w:t>
            </w:r>
          </w:p>
        </w:tc>
        <w:tc>
          <w:tcPr>
            <w:tcW w:w="107" w:type="dxa"/>
            <w:tcBorders/>
          </w:tcPr>
          <w:p>
            <w:pPr>
              <w:pStyle w:val="TableContents"/>
              <w:bidi w:val="0"/>
              <w:spacing w:before="0" w:after="283"/>
              <w:jc w:val="left"/>
              <w:rPr/>
            </w:pPr>
            <w:r>
              <w:rPr/>
              <w:t> </w:t>
            </w:r>
          </w:p>
        </w:tc>
        <w:tc>
          <w:tcPr>
            <w:tcW w:w="9757" w:type="dxa"/>
            <w:tcBorders/>
          </w:tcPr>
          <w:p>
            <w:pPr>
              <w:pStyle w:val="TableContents"/>
              <w:bidi w:val="0"/>
              <w:spacing w:before="0" w:after="283"/>
              <w:jc w:val="left"/>
              <w:rPr/>
            </w:pPr>
            <w:r>
              <w:rPr/>
              <w:t xml:space="preserve">Consists of the shares described in footnote (3) above. </w:t>
            </w:r>
          </w:p>
        </w:tc>
      </w:tr>
    </w:tbl>
    <w:tbl>
      <w:tblPr>
        <w:tblW w:w="5000" w:type="pct"/>
        <w:jc w:val="left"/>
        <w:tblInd w:w="0" w:type="dxa"/>
        <w:tblLayout w:type="fixed"/>
        <w:tblCellMar>
          <w:top w:w="0" w:type="dxa"/>
          <w:left w:w="0" w:type="dxa"/>
          <w:bottom w:w="0" w:type="dxa"/>
          <w:right w:w="0" w:type="dxa"/>
        </w:tblCellMar>
      </w:tblPr>
      <w:tblGrid>
        <w:gridCol w:w="342"/>
        <w:gridCol w:w="107"/>
        <w:gridCol w:w="9756"/>
      </w:tblGrid>
      <w:tr>
        <w:trPr/>
        <w:tc>
          <w:tcPr>
            <w:tcW w:w="342" w:type="dxa"/>
            <w:tcBorders/>
          </w:tcPr>
          <w:p>
            <w:pPr>
              <w:pStyle w:val="TableContents"/>
              <w:bidi w:val="0"/>
              <w:spacing w:before="0" w:after="283"/>
              <w:jc w:val="right"/>
              <w:rPr/>
            </w:pPr>
            <w:r>
              <w:rPr/>
              <w:t>(15)</w:t>
            </w:r>
          </w:p>
        </w:tc>
        <w:tc>
          <w:tcPr>
            <w:tcW w:w="107" w:type="dxa"/>
            <w:tcBorders/>
          </w:tcPr>
          <w:p>
            <w:pPr>
              <w:pStyle w:val="TableContents"/>
              <w:bidi w:val="0"/>
              <w:spacing w:before="0" w:after="283"/>
              <w:jc w:val="left"/>
              <w:rPr/>
            </w:pPr>
            <w:r>
              <w:rPr/>
              <w:t> </w:t>
            </w:r>
          </w:p>
        </w:tc>
        <w:tc>
          <w:tcPr>
            <w:tcW w:w="9756" w:type="dxa"/>
            <w:tcBorders/>
          </w:tcPr>
          <w:p>
            <w:pPr>
              <w:pStyle w:val="TableContents"/>
              <w:bidi w:val="0"/>
              <w:spacing w:before="0" w:after="283"/>
              <w:jc w:val="left"/>
              <w:rPr/>
            </w:pPr>
            <w:r>
              <w:rPr/>
              <w:t xml:space="preserve">Consists of     shares of common stock issuable upon the exercise of outstanding options as of    , 2026, but excludes any shares to be distributed to Dr. Stagliano in connection with the LLC Distribution. In connection with the LLC Distribution, Dr. Stagliano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7"/>
        <w:gridCol w:w="106"/>
        <w:gridCol w:w="9762"/>
      </w:tblGrid>
      <w:tr>
        <w:trPr/>
        <w:tc>
          <w:tcPr>
            <w:tcW w:w="337" w:type="dxa"/>
            <w:tcBorders/>
          </w:tcPr>
          <w:p>
            <w:pPr>
              <w:pStyle w:val="TableContents"/>
              <w:bidi w:val="0"/>
              <w:spacing w:before="0" w:after="283"/>
              <w:jc w:val="right"/>
              <w:rPr/>
            </w:pPr>
            <w:r>
              <w:rPr/>
              <w:t>(16) </w:t>
            </w:r>
          </w:p>
        </w:tc>
        <w:tc>
          <w:tcPr>
            <w:tcW w:w="106" w:type="dxa"/>
            <w:tcBorders/>
          </w:tcPr>
          <w:p>
            <w:pPr>
              <w:pStyle w:val="TableContents"/>
              <w:bidi w:val="0"/>
              <w:spacing w:before="0" w:after="283"/>
              <w:jc w:val="left"/>
              <w:rPr/>
            </w:pPr>
            <w:r>
              <w:rPr/>
              <w:t> </w:t>
            </w:r>
          </w:p>
        </w:tc>
        <w:tc>
          <w:tcPr>
            <w:tcW w:w="9762" w:type="dxa"/>
            <w:tcBorders/>
          </w:tcPr>
          <w:p>
            <w:pPr>
              <w:pStyle w:val="TableContents"/>
              <w:bidi w:val="0"/>
              <w:spacing w:before="0" w:after="283"/>
              <w:jc w:val="left"/>
              <w:rPr/>
            </w:pPr>
            <w:r>
              <w:rPr/>
              <w:t xml:space="preserve">Consists of the shares described in footnotes (9)-(15) above as well as     shares of common stock issuable upon the exercise of outstanding options as of     , 2026, but excludes any shares to be distributed to certain of our officers in connection with the LLC Distribution. In addition to the shares of common stock described in footnotes (9)-(15), in connection with the LLC Distribution, an officer expects to receive    shares of common stock issuable upon conversion of our Series A redeemable convertible preferred stock, which assumes that Electra LLC uses the midpoint of the range set forth on the cover of this prospectus for purposes of valuing a share of Series A redeemable convertible preferred stock. The shares received upon the LLC Distribution are included in the number of shares beneficially owned after the offering.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7" w:name="toc61940_15"/>
      <w:bookmarkEnd w:id="17"/>
      <w:r>
        <w:rPr>
          <w:rFonts w:ascii="Arial" w:hAnsi="Arial"/>
          <w:b/>
          <w:sz w:val="20"/>
        </w:rPr>
        <w:t xml:space="preserve">DESCRIPTION OF CAPITAL STOCK </w:t>
      </w:r>
    </w:p>
    <w:p>
      <w:pPr>
        <w:pStyle w:val="TextBody"/>
        <w:bidi w:val="0"/>
        <w:spacing w:before="360" w:after="0"/>
        <w:jc w:val="left"/>
        <w:rPr>
          <w:rFonts w:ascii="Arial" w:hAnsi="Arial"/>
          <w:sz w:val="19"/>
        </w:rPr>
      </w:pPr>
      <w:r>
        <w:rPr>
          <w:rFonts w:ascii="Arial" w:hAnsi="Arial"/>
          <w:sz w:val="19"/>
        </w:rPr>
        <w:t xml:space="preserve">Upon the filing of our amended and restated certificate of incorporation and the closing of this offering, our authorized capital stock will consist of     shares of our common stock, par value $0.0001 per share, and     shares of preferred stock, par value $0.0001 per share. All of our authorized preferred stock upon the closing of this offering will be undesignated. The following is a summary of the rights of our common and preferred stockholders and some of the provisions of our amended and restated certificate of incorporation and amended and restated bylaws, which will become effective upon the closing of this offering, and of the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 </w:t>
      </w:r>
    </w:p>
    <w:p>
      <w:pPr>
        <w:pStyle w:val="TextBody"/>
        <w:bidi w:val="0"/>
        <w:spacing w:before="240" w:after="0"/>
        <w:jc w:val="left"/>
        <w:rPr>
          <w:rFonts w:ascii="Arial" w:hAnsi="Arial"/>
          <w:b/>
          <w:sz w:val="20"/>
        </w:rPr>
      </w:pPr>
      <w:r>
        <w:rPr>
          <w:rFonts w:ascii="Arial" w:hAnsi="Arial"/>
          <w:b/>
          <w:sz w:val="20"/>
        </w:rPr>
        <w:t xml:space="preserve">Common Stock </w:t>
      </w:r>
    </w:p>
    <w:p>
      <w:pPr>
        <w:pStyle w:val="TextBody"/>
        <w:bidi w:val="0"/>
        <w:spacing w:before="80" w:after="0"/>
        <w:jc w:val="left"/>
        <w:rPr>
          <w:rFonts w:ascii="Arial" w:hAnsi="Arial"/>
          <w:b/>
          <w:i/>
          <w:sz w:val="19"/>
        </w:rPr>
      </w:pPr>
      <w:r>
        <w:rPr>
          <w:rFonts w:ascii="Arial" w:hAnsi="Arial"/>
          <w:b/>
          <w:i/>
          <w:sz w:val="19"/>
        </w:rPr>
        <w:t xml:space="preserve">Outstanding Shares </w:t>
      </w:r>
    </w:p>
    <w:p>
      <w:pPr>
        <w:pStyle w:val="TextBody"/>
        <w:bidi w:val="0"/>
        <w:spacing w:before="40" w:after="0"/>
        <w:jc w:val="left"/>
        <w:rPr>
          <w:rFonts w:ascii="Arial" w:hAnsi="Arial"/>
          <w:sz w:val="19"/>
        </w:rPr>
      </w:pPr>
      <w:r>
        <w:rPr>
          <w:rFonts w:ascii="Arial" w:hAnsi="Arial"/>
          <w:sz w:val="19"/>
        </w:rPr>
        <w:t xml:space="preserve">As of June 30, 2026, we had 44,000 shares of our common stock outstanding held of record by stockholders. This amount excludes our outstanding shares of redeemable convertible preferred stock, which will automatically convert into shares of our common stock immediately prior to the closing of this offering. Based on the number of shares of our common stock outstanding as of June 30, 2026, and assuming (i) the automatic conversion of all of our outstanding shares of redeemable convertible preferred stock, (ii) the issuance by us of     shares of our common stock in this offering, and (iii) no exercise by the underwriters of their option to purchase additional shares, there will be     shares of our common stock outstanding upon the closing of this offering. </w:t>
      </w:r>
    </w:p>
    <w:p>
      <w:pPr>
        <w:pStyle w:val="TextBody"/>
        <w:bidi w:val="0"/>
        <w:spacing w:before="80" w:after="0"/>
        <w:jc w:val="left"/>
        <w:rPr>
          <w:rFonts w:ascii="Arial" w:hAnsi="Arial"/>
          <w:b/>
          <w:i/>
          <w:sz w:val="19"/>
        </w:rPr>
      </w:pPr>
      <w:r>
        <w:rPr>
          <w:rFonts w:ascii="Arial" w:hAnsi="Arial"/>
          <w:b/>
          <w:i/>
          <w:sz w:val="19"/>
        </w:rPr>
        <w:t xml:space="preserve">Voting </w:t>
      </w:r>
    </w:p>
    <w:p>
      <w:pPr>
        <w:pStyle w:val="TextBody"/>
        <w:bidi w:val="0"/>
        <w:spacing w:before="40" w:after="0"/>
        <w:jc w:val="left"/>
        <w:rPr>
          <w:rFonts w:ascii="Arial" w:hAnsi="Arial"/>
          <w:sz w:val="19"/>
        </w:rPr>
      </w:pPr>
      <w:r>
        <w:rPr>
          <w:rFonts w:ascii="Arial" w:hAnsi="Arial"/>
          <w:sz w:val="19"/>
        </w:rPr>
        <w:t xml:space="preserve">Each holder of our common stock is entitled to one vote for each share on all matters submitted to a vote of stockholders, except as otherwise expressly provided in our amended and restated certificate of incorporation or required by applicable law. There are no cumulative voting rights. </w:t>
      </w:r>
    </w:p>
    <w:p>
      <w:pPr>
        <w:pStyle w:val="TextBody"/>
        <w:bidi w:val="0"/>
        <w:spacing w:before="80" w:after="0"/>
        <w:jc w:val="left"/>
        <w:rPr>
          <w:rFonts w:ascii="Arial" w:hAnsi="Arial"/>
          <w:b/>
          <w:i/>
          <w:sz w:val="19"/>
        </w:rPr>
      </w:pPr>
      <w:r>
        <w:rPr>
          <w:rFonts w:ascii="Arial" w:hAnsi="Arial"/>
          <w:b/>
          <w:i/>
          <w:sz w:val="19"/>
        </w:rPr>
        <w:t xml:space="preserve">Dividends </w:t>
      </w:r>
    </w:p>
    <w:p>
      <w:pPr>
        <w:pStyle w:val="TextBody"/>
        <w:bidi w:val="0"/>
        <w:spacing w:before="40" w:after="0"/>
        <w:jc w:val="left"/>
        <w:rPr>
          <w:rFonts w:ascii="Arial" w:hAnsi="Arial"/>
          <w:sz w:val="19"/>
        </w:rPr>
      </w:pPr>
      <w:r>
        <w:rPr>
          <w:rFonts w:ascii="Arial" w:hAnsi="Arial"/>
          <w:sz w:val="19"/>
        </w:rPr>
        <w:t xml:space="preserve">Subject to preferences that may be applicable to any then-outstanding preferred stock, the holders of our common stock are entitled to receive dividends, if any, as may be declared from time to time by our board of directors out of legally available funds. </w:t>
      </w:r>
    </w:p>
    <w:p>
      <w:pPr>
        <w:pStyle w:val="TextBody"/>
        <w:bidi w:val="0"/>
        <w:spacing w:before="80" w:after="0"/>
        <w:jc w:val="left"/>
        <w:rPr>
          <w:rFonts w:ascii="Arial" w:hAnsi="Arial"/>
          <w:b/>
          <w:i/>
          <w:sz w:val="19"/>
        </w:rPr>
      </w:pPr>
      <w:r>
        <w:rPr>
          <w:rFonts w:ascii="Arial" w:hAnsi="Arial"/>
          <w:b/>
          <w:i/>
          <w:sz w:val="19"/>
        </w:rPr>
        <w:t xml:space="preserve">Liquidation </w:t>
      </w:r>
    </w:p>
    <w:p>
      <w:pPr>
        <w:pStyle w:val="TextBody"/>
        <w:bidi w:val="0"/>
        <w:spacing w:before="40" w:after="0"/>
        <w:jc w:val="left"/>
        <w:rPr>
          <w:rFonts w:ascii="Arial" w:hAnsi="Arial"/>
          <w:sz w:val="19"/>
        </w:rPr>
      </w:pPr>
      <w:r>
        <w:rPr>
          <w:rFonts w:ascii="Arial" w:hAnsi="Arial"/>
          <w:sz w:val="19"/>
        </w:rPr>
        <w:t xml:space="preserve">In the event of our liquidation, dissolution, or winding-up,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w:t>
      </w:r>
    </w:p>
    <w:p>
      <w:pPr>
        <w:pStyle w:val="TextBody"/>
        <w:bidi w:val="0"/>
        <w:spacing w:before="80" w:after="0"/>
        <w:jc w:val="left"/>
        <w:rPr>
          <w:rFonts w:ascii="Arial" w:hAnsi="Arial"/>
          <w:b/>
          <w:i/>
          <w:sz w:val="19"/>
        </w:rPr>
      </w:pPr>
      <w:r>
        <w:rPr>
          <w:rFonts w:ascii="Arial" w:hAnsi="Arial"/>
          <w:b/>
          <w:i/>
          <w:sz w:val="19"/>
        </w:rPr>
        <w:t xml:space="preserve">Rights, Preferences, and Privileges </w:t>
      </w:r>
    </w:p>
    <w:p>
      <w:pPr>
        <w:pStyle w:val="TextBody"/>
        <w:bidi w:val="0"/>
        <w:spacing w:before="40" w:after="0"/>
        <w:jc w:val="left"/>
        <w:rPr>
          <w:rFonts w:ascii="Arial" w:hAnsi="Arial"/>
          <w:sz w:val="19"/>
        </w:rPr>
      </w:pPr>
      <w:r>
        <w:rPr>
          <w:rFonts w:ascii="Arial" w:hAnsi="Arial"/>
          <w:sz w:val="19"/>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80" w:after="0"/>
        <w:jc w:val="left"/>
        <w:rPr>
          <w:rFonts w:ascii="Arial" w:hAnsi="Arial"/>
          <w:b/>
          <w:i/>
          <w:sz w:val="19"/>
        </w:rPr>
      </w:pPr>
      <w:r>
        <w:rPr>
          <w:rFonts w:ascii="Arial" w:hAnsi="Arial"/>
          <w:b/>
          <w:i/>
          <w:sz w:val="19"/>
        </w:rPr>
        <w:t xml:space="preserve">Fully Paid and Nonassessable </w:t>
      </w:r>
    </w:p>
    <w:p>
      <w:pPr>
        <w:pStyle w:val="TextBody"/>
        <w:bidi w:val="0"/>
        <w:spacing w:before="40" w:after="0"/>
        <w:jc w:val="left"/>
        <w:rPr>
          <w:rFonts w:ascii="Arial" w:hAnsi="Arial"/>
          <w:sz w:val="19"/>
        </w:rPr>
      </w:pPr>
      <w:r>
        <w:rPr>
          <w:rFonts w:ascii="Arial" w:hAnsi="Arial"/>
          <w:sz w:val="19"/>
        </w:rPr>
        <w:t xml:space="preserve">All of our outstanding shares of our common stock are, and the shares of our common stock to be issued in this offering will be, fully paid and nonassessable. </w:t>
      </w:r>
    </w:p>
    <w:p>
      <w:pPr>
        <w:pStyle w:val="TextBody"/>
        <w:bidi w:val="0"/>
        <w:spacing w:before="240" w:after="0"/>
        <w:jc w:val="left"/>
        <w:rPr>
          <w:rFonts w:ascii="Arial" w:hAnsi="Arial"/>
          <w:b/>
          <w:sz w:val="20"/>
        </w:rPr>
      </w:pPr>
      <w:r>
        <w:rPr>
          <w:rFonts w:ascii="Arial" w:hAnsi="Arial"/>
          <w:b/>
          <w:sz w:val="20"/>
        </w:rPr>
        <w:t xml:space="preserve">Redeemable Convertible Preferred Stock </w:t>
      </w:r>
    </w:p>
    <w:p>
      <w:pPr>
        <w:pStyle w:val="TextBody"/>
        <w:bidi w:val="0"/>
        <w:spacing w:before="80" w:after="0"/>
        <w:jc w:val="left"/>
        <w:rPr>
          <w:rFonts w:ascii="Arial" w:hAnsi="Arial"/>
          <w:sz w:val="19"/>
        </w:rPr>
      </w:pPr>
      <w:r>
        <w:rPr>
          <w:rFonts w:ascii="Arial" w:hAnsi="Arial"/>
          <w:sz w:val="19"/>
        </w:rPr>
        <w:t xml:space="preserve">As of June 30, 2026, there were 59,114,361 shares of redeemable convertible preferred stock outstanding, held of record by 23 stockholders. </w:t>
      </w:r>
    </w:p>
    <w:p>
      <w:pPr>
        <w:pStyle w:val="TextBody"/>
        <w:bidi w:val="0"/>
        <w:spacing w:before="180" w:after="0"/>
        <w:jc w:val="left"/>
        <w:rPr>
          <w:rFonts w:ascii="Arial" w:hAnsi="Arial"/>
          <w:sz w:val="19"/>
        </w:rPr>
      </w:pPr>
      <w:r>
        <w:rPr>
          <w:rFonts w:ascii="Arial" w:hAnsi="Arial"/>
          <w:sz w:val="19"/>
        </w:rPr>
        <w:t xml:space="preserve">Immediately prior to the closing of this offering, all outstanding shares of redeemable convertible preferred stock will automatically convert into 59,114,361 shares of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Under the amended and restated certificate of incorporation that will become effective upon the closing of this offering, our board of directors will have the authority, without further action by the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80" w:after="0"/>
        <w:jc w:val="left"/>
        <w:rPr>
          <w:rFonts w:ascii="Arial" w:hAnsi="Arial"/>
          <w:sz w:val="19"/>
        </w:rPr>
      </w:pPr>
      <w:r>
        <w:rPr>
          <w:rFonts w:ascii="Arial" w:hAnsi="Arial"/>
          <w:sz w:val="19"/>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our common stock. We have no current plans to issue any shares of preferred stock. </w:t>
      </w:r>
    </w:p>
    <w:p>
      <w:pPr>
        <w:pStyle w:val="TextBody"/>
        <w:bidi w:val="0"/>
        <w:spacing w:before="240" w:after="0"/>
        <w:jc w:val="left"/>
        <w:rPr>
          <w:rFonts w:ascii="Arial" w:hAnsi="Arial"/>
          <w:b/>
          <w:sz w:val="20"/>
        </w:rPr>
      </w:pPr>
      <w:r>
        <w:rPr>
          <w:rFonts w:ascii="Arial" w:hAnsi="Arial"/>
          <w:b/>
          <w:sz w:val="20"/>
        </w:rPr>
        <w:t xml:space="preserve">Stock Options </w:t>
      </w:r>
    </w:p>
    <w:p>
      <w:pPr>
        <w:pStyle w:val="TextBody"/>
        <w:bidi w:val="0"/>
        <w:spacing w:before="80" w:after="0"/>
        <w:jc w:val="left"/>
        <w:rPr>
          <w:rFonts w:ascii="Arial" w:hAnsi="Arial"/>
          <w:sz w:val="19"/>
        </w:rPr>
      </w:pPr>
      <w:r>
        <w:rPr>
          <w:rFonts w:ascii="Arial" w:hAnsi="Arial"/>
          <w:sz w:val="19"/>
        </w:rPr>
        <w:t xml:space="preserve">As of June 30, 2026, 8,554,153 shares of our common stock were issuable upon the exercise of outstanding stock options, issued under our 2022 Plan, at a weighted-average exercise price of $3.27 per share and     shares of our common stock were issuable upon the exercise of stock options outstanding granted under the 2022 Plan subsequent to June 30, 2026, with a weighted-average exercise price of $    per share. For information regarding the terms of our equity incentive plans, see the section titled “Executive and Director Compensation—Equity Benefit Plans.” </w:t>
      </w:r>
    </w:p>
    <w:p>
      <w:pPr>
        <w:pStyle w:val="TextBody"/>
        <w:bidi w:val="0"/>
        <w:spacing w:before="240" w:after="0"/>
        <w:jc w:val="left"/>
        <w:rPr>
          <w:rFonts w:ascii="Arial" w:hAnsi="Arial"/>
          <w:b/>
          <w:sz w:val="20"/>
        </w:rPr>
      </w:pPr>
      <w:r>
        <w:rPr>
          <w:rFonts w:ascii="Arial" w:hAnsi="Arial"/>
          <w:b/>
          <w:sz w:val="20"/>
        </w:rPr>
        <w:t xml:space="preserve">Registration Rights </w:t>
      </w:r>
    </w:p>
    <w:p>
      <w:pPr>
        <w:pStyle w:val="TextBody"/>
        <w:bidi w:val="0"/>
        <w:spacing w:before="80" w:after="0"/>
        <w:jc w:val="left"/>
        <w:rPr>
          <w:rFonts w:ascii="Arial" w:hAnsi="Arial"/>
          <w:sz w:val="19"/>
        </w:rPr>
      </w:pPr>
      <w:r>
        <w:rPr>
          <w:rFonts w:ascii="Arial" w:hAnsi="Arial"/>
          <w:sz w:val="19"/>
        </w:rPr>
        <w:t xml:space="preserve">Upon the closing of this offering, certain holders of 59,114,361 shares of our common stock, including those issuable upon the automatic conversion of our redeemable convertible preferred stock, will be entitled to rights with respect to the registration of these securities under the Securities Act. These rights are provided under the terms of an amended and restated investors’ rights agreement (investor rights agreement) between us and holders of our redeemable convertible preferred stock. These shares are collectively herein referred to as registrable securities. The investor rights agreement includes demand registration rights, Form S-3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w:t>
      </w:r>
    </w:p>
    <w:p>
      <w:pPr>
        <w:pStyle w:val="TextBody"/>
        <w:bidi w:val="0"/>
        <w:spacing w:before="80" w:after="0"/>
        <w:jc w:val="left"/>
        <w:rPr>
          <w:rFonts w:ascii="Arial" w:hAnsi="Arial"/>
          <w:b/>
          <w:i/>
          <w:sz w:val="19"/>
        </w:rPr>
      </w:pPr>
      <w:r>
        <w:rPr>
          <w:rFonts w:ascii="Arial" w:hAnsi="Arial"/>
          <w:b/>
          <w:i/>
          <w:sz w:val="19"/>
        </w:rPr>
        <w:t xml:space="preserve">Form S-1 Demand Registration Rights </w:t>
      </w:r>
    </w:p>
    <w:p>
      <w:pPr>
        <w:pStyle w:val="TextBody"/>
        <w:bidi w:val="0"/>
        <w:spacing w:before="40" w:after="0"/>
        <w:jc w:val="left"/>
        <w:rPr>
          <w:rFonts w:ascii="Arial" w:hAnsi="Arial"/>
          <w:sz w:val="19"/>
        </w:rPr>
      </w:pPr>
      <w:r>
        <w:rPr>
          <w:rFonts w:ascii="Arial" w:hAnsi="Arial"/>
          <w:sz w:val="19"/>
        </w:rPr>
        <w:t xml:space="preserve">Beginning six months after the effective date of the registration statement of which this prospectus is a part, certain holders of registrable securities are entitled to demand registration rights. Under the terms of the investor rights agreement, we will be required, upon the request of the holders of a majority of our outstanding registrable securities, as defined in the investor rights agreement, to file a registration statement with respect to outstanding registrable securities having an anticipated aggregate gross offering price to the public of at least $15 million, and use commercially reasonable efforts to effect, as soon as practicable, the registration of all or a portion of their registrable securities for public resale. We are not obligated to take any action in response to such request (i) during the period starting from 60 days prior to our good faith estimate of the date of filing of, and ending 180 days after the effective date of, our initial public offering, (ii) if we have already effected two registrations pursuant to such requests for registration on Form S-1, or (iii) if the initiating holders propose to dispose of shares of registrable securities that may be immediately registered on Form S-3. Additionally, if we furnish to the holders requesting such registration a certificate signed by our Chief Executive Officer or Chairperson stating that, in the good faith judgment of our board of directors, it would be seriously detrimental to us and our stockholders for such registration statement to either become effective at such time, then we shall have the right to defer taking action with respect to such filing, and any time periods with respect to filing or effectiveness thereof shall be tolled correspondingly, for a period of not more than 120 days after the request of the initiating holders is given; provided, however, that we may not invoke this right more than once in any 12-month period, as described in the investor rights agreement. </w:t>
      </w:r>
    </w:p>
    <w:p>
      <w:pPr>
        <w:pStyle w:val="TextBody"/>
        <w:bidi w:val="0"/>
        <w:spacing w:before="80" w:after="0"/>
        <w:jc w:val="left"/>
        <w:rPr>
          <w:rFonts w:ascii="Arial" w:hAnsi="Arial"/>
          <w:b/>
          <w:i/>
          <w:sz w:val="19"/>
        </w:rPr>
      </w:pPr>
      <w:r>
        <w:rPr>
          <w:rFonts w:ascii="Arial" w:hAnsi="Arial"/>
          <w:b/>
          <w:i/>
          <w:sz w:val="19"/>
        </w:rPr>
        <w:t xml:space="preserve">Form S-3 Demand Registration Rights </w:t>
      </w:r>
    </w:p>
    <w:p>
      <w:pPr>
        <w:pStyle w:val="TextBody"/>
        <w:bidi w:val="0"/>
        <w:spacing w:before="40" w:after="0"/>
        <w:jc w:val="left"/>
        <w:rPr>
          <w:rFonts w:ascii="Arial" w:hAnsi="Arial"/>
          <w:sz w:val="19"/>
        </w:rPr>
      </w:pPr>
      <w:r>
        <w:rPr>
          <w:rFonts w:ascii="Arial" w:hAnsi="Arial"/>
          <w:sz w:val="19"/>
        </w:rPr>
        <w:t xml:space="preserve">Pursuant to the investor rights agreement, if we are eligible to file a registration statement on Form S-3, we will be required, upon request of the holders of at least 20% of our outstanding registrable securities, as defined in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investor rights agreement, to register their registrable securities under the Securities Act so long as the total amount of registrable shares requested to be registered has an anticipated aggregate offering price to the public, net of any underwriters’ discounts or commissions, of at least $10 million. We are not obligated to take any action in response to such request (i) during the period starting from 30 days prior to our good faith estimate of the date of the filing of and ending on a date 90 days following the effective date of, a registration initiated by us; (ii) if we have, within the 12-month period preceding the date of such request, already effected two registrations pursuant to such requests for registration on Form S-3; and (iii) if, within 30 days of receipt of a written request from initiating holders, we give notice to such holders of our intention to make a public offering within 120 days. Additionally, if we furnish to the holders requesting such registration a certificate signed by our Chief Executive Officer or Chairperson stating that, in the good faith judgment of our board of directors, it would be seriously detrimental to us and our stockholders for such registration statement to become effective at such time, then we shall have the right to defer such filing, for a period of not more than 90 days after the request of the initiating holders is given; provided, however, that we may not invoke this right more than once in any 12-month period, as described in the investor rights agreement; and provided further that we shall not register any securities for our own account or any other stockholder during such 90 day period. </w:t>
      </w:r>
    </w:p>
    <w:p>
      <w:pPr>
        <w:pStyle w:val="TextBody"/>
        <w:bidi w:val="0"/>
        <w:spacing w:before="80" w:after="0"/>
        <w:jc w:val="left"/>
        <w:rPr>
          <w:rFonts w:ascii="Arial" w:hAnsi="Arial"/>
          <w:b/>
          <w:i/>
          <w:sz w:val="19"/>
        </w:rPr>
      </w:pPr>
      <w:r>
        <w:rPr>
          <w:rFonts w:ascii="Arial" w:hAnsi="Arial"/>
          <w:b/>
          <w:i/>
          <w:sz w:val="19"/>
        </w:rPr>
        <w:t xml:space="preserve">Piggyback Registration Rights </w:t>
      </w:r>
    </w:p>
    <w:p>
      <w:pPr>
        <w:pStyle w:val="TextBody"/>
        <w:bidi w:val="0"/>
        <w:spacing w:before="40" w:after="0"/>
        <w:jc w:val="left"/>
        <w:rPr>
          <w:rFonts w:ascii="Arial" w:hAnsi="Arial"/>
          <w:sz w:val="19"/>
        </w:rPr>
      </w:pPr>
      <w:r>
        <w:rPr>
          <w:rFonts w:ascii="Arial" w:hAnsi="Arial"/>
          <w:sz w:val="19"/>
        </w:rPr>
        <w:t xml:space="preserve">If we propose to register any of our securities under the Securities Act in another offering solely for cash, either for our own account or for the account of other security holders, the holders of registrable securities will be entitled to notice of the registration and will be entitled to include their shares of our common stock in the registration, subject to certain conditions and limitations, including the right of the underwriters to limit the number of shares included in such registration under specified circumstances. </w:t>
      </w:r>
    </w:p>
    <w:p>
      <w:pPr>
        <w:pStyle w:val="TextBody"/>
        <w:bidi w:val="0"/>
        <w:spacing w:before="240" w:after="0"/>
        <w:jc w:val="left"/>
        <w:rPr>
          <w:rFonts w:ascii="Arial" w:hAnsi="Arial"/>
          <w:b/>
          <w:sz w:val="20"/>
        </w:rPr>
      </w:pPr>
      <w:r>
        <w:rPr>
          <w:rFonts w:ascii="Arial" w:hAnsi="Arial"/>
          <w:b/>
          <w:sz w:val="20"/>
        </w:rPr>
        <w:t xml:space="preserve">Anti-Takeover Effects of Provisions of our Amended and Restated Certificate of Incorporation, our Amended and Restated Bylaws, and Delaware Law </w:t>
      </w:r>
    </w:p>
    <w:p>
      <w:pPr>
        <w:pStyle w:val="TextBody"/>
        <w:bidi w:val="0"/>
        <w:spacing w:before="80" w:after="0"/>
        <w:jc w:val="left"/>
        <w:rPr>
          <w:rFonts w:ascii="Arial" w:hAnsi="Arial"/>
          <w:b/>
          <w:i/>
          <w:sz w:val="19"/>
        </w:rPr>
      </w:pPr>
      <w:r>
        <w:rPr>
          <w:rFonts w:ascii="Arial" w:hAnsi="Arial"/>
          <w:b/>
          <w:i/>
          <w:sz w:val="19"/>
        </w:rPr>
        <w:t xml:space="preserve">Delaware Anti-Takeover Law </w:t>
      </w:r>
    </w:p>
    <w:p>
      <w:pPr>
        <w:pStyle w:val="TextBody"/>
        <w:bidi w:val="0"/>
        <w:spacing w:before="40" w:after="0"/>
        <w:jc w:val="left"/>
        <w:rPr>
          <w:rFonts w:ascii="Arial" w:hAnsi="Arial"/>
          <w:sz w:val="19"/>
        </w:rPr>
      </w:pPr>
      <w:r>
        <w:rPr>
          <w:rFonts w:ascii="Arial" w:hAnsi="Arial"/>
          <w:sz w:val="19"/>
        </w:rPr>
        <w:t xml:space="preserve">We are subject to Section 203 of the DGCL (Section 203). Section 203 generally prohibits a public Delaware corporation from engaging in a “business combination” with an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 </w:t>
            </w:r>
          </w:p>
        </w:tc>
      </w:tr>
    </w:tbl>
    <w:p>
      <w:pPr>
        <w:pStyle w:val="TextBody"/>
        <w:bidi w:val="0"/>
        <w:spacing w:before="180" w:after="0"/>
        <w:jc w:val="left"/>
        <w:rPr>
          <w:rFonts w:ascii="Arial" w:hAnsi="Arial"/>
          <w:sz w:val="19"/>
        </w:rPr>
      </w:pPr>
      <w:r>
        <w:rPr>
          <w:rFonts w:ascii="Arial" w:hAnsi="Arial"/>
          <w:sz w:val="19"/>
        </w:rPr>
        <w:t xml:space="preserve">Section 203 defines a “business combination” to include (subject to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transaction involving the corporation or any direct or indirect majority-owned subsidiary of the corporation that has the effect, directly or indirectly,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the receipt by the interested stockholder of the benefit, directly or indirectly, of any loans, advances, guarantees, pledges, or other financial benefits provided by or through the corporation. </w:t>
            </w:r>
          </w:p>
        </w:tc>
      </w:tr>
    </w:tbl>
    <w:p>
      <w:pPr>
        <w:pStyle w:val="TextBody"/>
        <w:bidi w:val="0"/>
        <w:spacing w:before="180" w:after="0"/>
        <w:jc w:val="left"/>
        <w:rPr>
          <w:rFonts w:ascii="Arial" w:hAnsi="Arial"/>
          <w:sz w:val="19"/>
        </w:rPr>
      </w:pPr>
      <w:r>
        <w:rPr>
          <w:rFonts w:ascii="Arial" w:hAnsi="Arial"/>
          <w:sz w:val="19"/>
        </w:rPr>
        <w:t xml:space="preserve">In general, Section 203 defines an “interested stockholder” as any entity or person who, together with the person’s affiliates and associates, beneficially owns, or within the three years prior to the time of determination of interested stockholder status did own, 15% or more of the outstanding voting stock of the corporation. </w:t>
      </w:r>
    </w:p>
    <w:p>
      <w:pPr>
        <w:pStyle w:val="TextBody"/>
        <w:bidi w:val="0"/>
        <w:spacing w:before="180" w:after="0"/>
        <w:jc w:val="left"/>
        <w:rPr>
          <w:rFonts w:ascii="Arial" w:hAnsi="Arial"/>
          <w:sz w:val="19"/>
        </w:rPr>
      </w:pPr>
      <w:r>
        <w:rPr>
          <w:rFonts w:ascii="Arial" w:hAnsi="Arial"/>
          <w:sz w:val="19"/>
        </w:rPr>
        <w:t xml:space="preserve">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 </w:t>
      </w:r>
    </w:p>
    <w:p>
      <w:pPr>
        <w:pStyle w:val="TextBody"/>
        <w:bidi w:val="0"/>
        <w:spacing w:before="80" w:after="0"/>
        <w:jc w:val="left"/>
        <w:rPr>
          <w:rFonts w:ascii="Arial" w:hAnsi="Arial"/>
          <w:b/>
          <w:i/>
          <w:sz w:val="19"/>
        </w:rPr>
      </w:pPr>
      <w:r>
        <w:rPr>
          <w:rFonts w:ascii="Arial" w:hAnsi="Arial"/>
          <w:b/>
          <w:i/>
          <w:sz w:val="19"/>
        </w:rPr>
        <w:t xml:space="preserve">Amended and Restated Certificate of Incorporation and Amended and Restated Bylaws </w:t>
      </w:r>
    </w:p>
    <w:p>
      <w:pPr>
        <w:pStyle w:val="TextBody"/>
        <w:bidi w:val="0"/>
        <w:spacing w:before="40" w:after="0"/>
        <w:jc w:val="left"/>
        <w:rPr>
          <w:rFonts w:ascii="Arial" w:hAnsi="Arial"/>
          <w:sz w:val="19"/>
        </w:rPr>
      </w:pPr>
      <w:r>
        <w:rPr>
          <w:rFonts w:ascii="Arial" w:hAnsi="Arial"/>
          <w:sz w:val="19"/>
        </w:rPr>
        <w:t xml:space="preserve">Provisions of our amended and restated certificate of incorporation and amended and restated bylaws, which will become effective upon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permit our board of directors to issue up to    shares of preferred stock, with any rights, preferences, and privileges as they may designate (including the right to approve an acquisition or other change in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the authorized number of directors may be changed only by resolution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the board of directors or any individual director may only be removed with cause and the affirmative vote of the holders of at least 66-2/3% of the voting power of all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divide our board of directors into three classes with each class serving three-year staggered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require that any action to be taken by our stockholders must be effected at a duly called annual or special meeting of stockholders and not be taken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do not provide for cumulative voting rights (therefore allowing the holders of a majority of the shares of our common stock entitled to vote in any election of directors to elect all of the directors standing for election, if they should so choose);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provide that special meetings of our stockholders may be called only by the Chairperson of the board, our Chief Executive Officer or by the board of directors pursuant to a resolution adopted by a majority of the total number of authorized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unless we consent in writing to the selection of an alternative forum, the Court of Chancery of the State of Delaware and any appellate court therefrom shall be the sole and exclusive forum for: (i) any derivative claim or cause of action brought on our behalf; (ii) any claim or cause of action that is based upon a violation of a duty owed by any of our current or former directors, officers, employees, or stockholders, to us or our stockholders; (iii) any claim or cause of action against us or any of our current or former directors, officers, or other employees, arising out of or pursuant to any provision of the DGCL, our amended and restated certificate of incorporation, or our bylaws; (iv) any claim or cause of action seeking to interpret, apply, enforce, or determine the validity of our amended and restated certificate of incorporation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5"/>
        <w:gridCol w:w="9390"/>
      </w:tblGrid>
      <w:tr>
        <w:trPr/>
        <w:tc>
          <w:tcPr>
            <w:tcW w:w="815" w:type="dxa"/>
            <w:tcBorders/>
            <w:vAlign w:val="center"/>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or our bylaws; (v) any claim or cause of action as to which the DGCL confers jurisdiction to the Court of Chancery of the State of Delaware; and (vi) any claim or cause of action or proceeding asserting a claim against us or any of our current or former directors, officers, or other employees governed by the internal-affairs doctrine or otherwise related to our internal affairs, in all cases to the fullest extent permitted by applicable law and subject to the court’s having personal jurisdiction over the indispensable parties named as defendants; provided, however, that if the designation of such court as the sole and exclusive forum for a claim or action referred to in foregoing clauses (i) through (vi) would violate applicable law, then the U.S. District Court for the District of Delaware shall be the sole and exclusive forum for such claim or cause of action; provided further, that the exclusive forum provision does not apply to suits brought to enforce a duty or liability created by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t>
            </w:r>
          </w:p>
        </w:tc>
      </w:tr>
    </w:tbl>
    <w:p>
      <w:pPr>
        <w:pStyle w:val="TextBody"/>
        <w:bidi w:val="0"/>
        <w:spacing w:before="240" w:after="0"/>
        <w:jc w:val="left"/>
        <w:rPr>
          <w:rFonts w:ascii="Arial" w:hAnsi="Arial"/>
          <w:sz w:val="19"/>
        </w:rPr>
      </w:pPr>
      <w:r>
        <w:rPr>
          <w:rFonts w:ascii="Arial" w:hAnsi="Arial"/>
          <w:sz w:val="19"/>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w:t>
      </w:r>
    </w:p>
    <w:p>
      <w:pPr>
        <w:pStyle w:val="TextBody"/>
        <w:bidi w:val="0"/>
        <w:spacing w:before="240" w:after="0"/>
        <w:jc w:val="left"/>
        <w:rPr>
          <w:rFonts w:ascii="Arial" w:hAnsi="Arial"/>
          <w:b/>
          <w:sz w:val="20"/>
        </w:rPr>
      </w:pPr>
      <w:r>
        <w:rPr>
          <w:rFonts w:ascii="Arial" w:hAnsi="Arial"/>
          <w:b/>
          <w:sz w:val="20"/>
        </w:rPr>
        <w:t xml:space="preserve">Exchange Listing </w:t>
      </w:r>
    </w:p>
    <w:p>
      <w:pPr>
        <w:pStyle w:val="TextBody"/>
        <w:bidi w:val="0"/>
        <w:spacing w:before="80" w:after="0"/>
        <w:jc w:val="left"/>
        <w:rPr>
          <w:rFonts w:ascii="Arial" w:hAnsi="Arial"/>
          <w:sz w:val="19"/>
        </w:rPr>
      </w:pPr>
      <w:r>
        <w:rPr>
          <w:rFonts w:ascii="Arial" w:hAnsi="Arial"/>
          <w:sz w:val="19"/>
        </w:rPr>
        <w:t xml:space="preserve">We have applied to list our common stock on the Nasdaq Global Select Market under the symbol “ETRA.” We believe that upon the closing of this offering, we will meet the standards for listing on Nasdaq, and the closing of this offering is contingent upon such listing. </w:t>
      </w:r>
    </w:p>
    <w:p>
      <w:pPr>
        <w:pStyle w:val="TextBody"/>
        <w:bidi w:val="0"/>
        <w:spacing w:before="240" w:after="0"/>
        <w:jc w:val="left"/>
        <w:rPr>
          <w:rFonts w:ascii="Arial" w:hAnsi="Arial"/>
          <w:b/>
          <w:sz w:val="20"/>
        </w:rPr>
      </w:pPr>
      <w:r>
        <w:rPr>
          <w:rFonts w:ascii="Arial" w:hAnsi="Arial"/>
          <w:b/>
          <w:sz w:val="20"/>
        </w:rPr>
        <w:t xml:space="preserve">Transfer Agent and Registrar </w:t>
      </w:r>
    </w:p>
    <w:p>
      <w:pPr>
        <w:pStyle w:val="TextBody"/>
        <w:bidi w:val="0"/>
        <w:spacing w:before="80" w:after="0"/>
        <w:jc w:val="left"/>
        <w:rPr>
          <w:rFonts w:ascii="Arial" w:hAnsi="Arial"/>
          <w:sz w:val="19"/>
        </w:rPr>
      </w:pPr>
      <w:r>
        <w:rPr>
          <w:rFonts w:ascii="Arial" w:hAnsi="Arial"/>
          <w:sz w:val="19"/>
        </w:rPr>
        <w:t xml:space="preserve">Upon the closing of this offering, the transfer agent and registrar for our common stock will be    . The transfer agent and registrar’s address is    .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8" w:name="toc61940_16"/>
      <w:bookmarkEnd w:id="18"/>
      <w:r>
        <w:rPr>
          <w:rFonts w:ascii="Arial" w:hAnsi="Arial"/>
          <w:b/>
          <w:sz w:val="20"/>
        </w:rPr>
        <w:t xml:space="preserve">SHARES ELIGIBLE FOR FUTURE SALE </w:t>
      </w:r>
    </w:p>
    <w:p>
      <w:pPr>
        <w:pStyle w:val="TextBody"/>
        <w:bidi w:val="0"/>
        <w:spacing w:before="360" w:after="0"/>
        <w:jc w:val="left"/>
        <w:rPr>
          <w:rFonts w:ascii="Arial" w:hAnsi="Arial"/>
          <w:sz w:val="19"/>
        </w:rPr>
      </w:pPr>
      <w:r>
        <w:rPr>
          <w:rFonts w:ascii="Arial" w:hAnsi="Arial"/>
          <w:sz w:val="19"/>
        </w:rPr>
        <w:t xml:space="preserve">Prior to this offering, there has been no public market for our common stock. Future sales of substantial amounts of our common stock in the public market, or the perception that such sales may occur, could adversely affect the market price of our common stock.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 Although we have applied to have our common stock listed on the Nasdaq Global Select Market, we cannot assure you that there will be an active public market for our common stock. </w:t>
      </w:r>
    </w:p>
    <w:p>
      <w:pPr>
        <w:pStyle w:val="TextBody"/>
        <w:bidi w:val="0"/>
        <w:spacing w:before="180" w:after="0"/>
        <w:jc w:val="left"/>
        <w:rPr>
          <w:rFonts w:ascii="Arial" w:hAnsi="Arial"/>
          <w:sz w:val="19"/>
        </w:rPr>
      </w:pPr>
      <w:r>
        <w:rPr>
          <w:rFonts w:ascii="Arial" w:hAnsi="Arial"/>
          <w:sz w:val="19"/>
        </w:rPr>
        <w:t xml:space="preserve">Following the closing of this offering, based on the number of shares of our common stock outstanding as of June 30, 2026 and assuming (i) the issuance of     shares of our common stock in this offering, (ii) the automatic conversion of all outstanding shares of our redeemable convertible preferred stock into 59,114,361 shares of our common stock, which will automatically occur immediately prior to the closing of the offering, and (iii) no exercise of the underwriters’ option to purchase additional shares, we will have an aggregate of     shares of our common stock outstanding. </w:t>
      </w:r>
    </w:p>
    <w:p>
      <w:pPr>
        <w:pStyle w:val="TextBody"/>
        <w:bidi w:val="0"/>
        <w:spacing w:before="180" w:after="0"/>
        <w:jc w:val="left"/>
        <w:rPr>
          <w:rFonts w:ascii="Arial" w:hAnsi="Arial"/>
          <w:sz w:val="19"/>
        </w:rPr>
      </w:pPr>
      <w:r>
        <w:rPr>
          <w:rFonts w:ascii="Arial" w:hAnsi="Arial"/>
          <w:sz w:val="19"/>
        </w:rPr>
        <w:t xml:space="preserve">Of these shares, all shares of our common stock sold in this offering will be freely tradable without restriction or further registration under the Securities Act, except for any shares of our common stock purchased by our “affiliates,” as that term is defined in Rule 144 under the Securities Act or any shares, subject to lock-up agreements. </w:t>
      </w:r>
    </w:p>
    <w:p>
      <w:pPr>
        <w:pStyle w:val="TextBody"/>
        <w:bidi w:val="0"/>
        <w:spacing w:before="180" w:after="0"/>
        <w:jc w:val="left"/>
        <w:rPr>
          <w:rFonts w:ascii="Arial" w:hAnsi="Arial"/>
          <w:sz w:val="19"/>
        </w:rPr>
      </w:pPr>
      <w:r>
        <w:rPr>
          <w:rFonts w:ascii="Arial" w:hAnsi="Arial"/>
          <w:sz w:val="19"/>
        </w:rPr>
        <w:t xml:space="preserve">Shares purchased by our affiliates would be subject to the Rule 144 resale restrictions described below, other than the holding period requirement. </w:t>
      </w:r>
    </w:p>
    <w:p>
      <w:pPr>
        <w:pStyle w:val="TextBody"/>
        <w:bidi w:val="0"/>
        <w:spacing w:before="180" w:after="0"/>
        <w:jc w:val="left"/>
        <w:rPr>
          <w:rFonts w:ascii="Arial" w:hAnsi="Arial"/>
          <w:sz w:val="19"/>
        </w:rPr>
      </w:pPr>
      <w:r>
        <w:rPr>
          <w:rFonts w:ascii="Arial" w:hAnsi="Arial"/>
          <w:sz w:val="19"/>
        </w:rPr>
        <w:t xml:space="preserve">The remaining shares of our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and, if subject to lock-up agreements, may only be sold after the expiration of the 180-day lock-up period. We expect that substantially all of these shares will be subject to a 180-day lock-up period under the lock-up and market stand-off agreements described below. </w:t>
      </w:r>
    </w:p>
    <w:p>
      <w:pPr>
        <w:pStyle w:val="TextBody"/>
        <w:bidi w:val="0"/>
        <w:spacing w:before="180" w:after="0"/>
        <w:jc w:val="left"/>
        <w:rPr>
          <w:rFonts w:ascii="Arial" w:hAnsi="Arial"/>
          <w:sz w:val="19"/>
        </w:rPr>
      </w:pPr>
      <w:r>
        <w:rPr>
          <w:rFonts w:ascii="Arial" w:hAnsi="Arial"/>
          <w:sz w:val="19"/>
        </w:rPr>
        <w:t xml:space="preserve">We may issue shares of our common stock from time to time as consideration for future acquisitions, investments, or other corporate purposes. In the event any such acquisition, investment, or other transaction is significant, the number of shares of our common stock that we may issue may also be significant. We may also grant registration rights covering those shares of our common stock issued in connection with any such acquisition, investment, or other transaction. </w:t>
      </w:r>
    </w:p>
    <w:p>
      <w:pPr>
        <w:pStyle w:val="TextBody"/>
        <w:bidi w:val="0"/>
        <w:spacing w:before="180" w:after="0"/>
        <w:jc w:val="left"/>
        <w:rPr>
          <w:rFonts w:ascii="Arial" w:hAnsi="Arial"/>
          <w:sz w:val="19"/>
        </w:rPr>
      </w:pPr>
      <w:r>
        <w:rPr>
          <w:rFonts w:ascii="Arial" w:hAnsi="Arial"/>
          <w:sz w:val="19"/>
        </w:rPr>
        <w:t xml:space="preserve">In addition, shares of our common stock that are either subject to outstanding options or reserved for future issuance under our equity incentive plans will become eligible for sale in the public market to the extent permitted by the provisions of various vesting schedules, the lock-up agreements described below and Rules 144 and 701 under the Securities Act. </w:t>
      </w:r>
    </w:p>
    <w:p>
      <w:pPr>
        <w:pStyle w:val="TextBody"/>
        <w:bidi w:val="0"/>
        <w:spacing w:before="240" w:after="0"/>
        <w:jc w:val="left"/>
        <w:rPr>
          <w:rFonts w:ascii="Arial" w:hAnsi="Arial"/>
          <w:b/>
          <w:sz w:val="20"/>
        </w:rPr>
      </w:pPr>
      <w:r>
        <w:rPr>
          <w:rFonts w:ascii="Arial" w:hAnsi="Arial"/>
          <w:b/>
          <w:sz w:val="20"/>
        </w:rPr>
        <w:t xml:space="preserve">Rule 144 </w:t>
      </w:r>
    </w:p>
    <w:p>
      <w:pPr>
        <w:pStyle w:val="TextBody"/>
        <w:bidi w:val="0"/>
        <w:spacing w:before="80" w:after="0"/>
        <w:jc w:val="left"/>
        <w:rPr>
          <w:rFonts w:ascii="Arial" w:hAnsi="Arial"/>
          <w:sz w:val="19"/>
        </w:rPr>
      </w:pPr>
      <w:r>
        <w:rPr>
          <w:rFonts w:ascii="Arial" w:hAnsi="Arial"/>
          <w:sz w:val="19"/>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 general, under Rule 144, as currently in effect, our affiliates or persons selling shares on behalf of our affiliates will be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1% of the number of shares of our common stock then outstanding, which will equal approximately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average weekly trading volume in our common stock on the Nasdaq Global Select Market during the four calendar weeks preceding the filing of a notice on Form 144 with respect to such sale, provided in each case that we have been subject to the Exchange Act periodic reporting requirements for at least 90 days before the sale. </w:t>
            </w:r>
          </w:p>
        </w:tc>
      </w:tr>
    </w:tbl>
    <w:p>
      <w:pPr>
        <w:pStyle w:val="TextBody"/>
        <w:bidi w:val="0"/>
        <w:spacing w:before="180" w:after="0"/>
        <w:jc w:val="left"/>
        <w:rPr>
          <w:rFonts w:ascii="Arial" w:hAnsi="Arial"/>
          <w:sz w:val="19"/>
        </w:rPr>
      </w:pPr>
      <w:r>
        <w:rPr>
          <w:rFonts w:ascii="Arial" w:hAnsi="Arial"/>
          <w:sz w:val="19"/>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240" w:after="0"/>
        <w:jc w:val="left"/>
        <w:rPr>
          <w:rFonts w:ascii="Arial" w:hAnsi="Arial"/>
          <w:b/>
          <w:sz w:val="20"/>
        </w:rPr>
      </w:pPr>
      <w:r>
        <w:rPr>
          <w:rFonts w:ascii="Arial" w:hAnsi="Arial"/>
          <w:b/>
          <w:sz w:val="20"/>
        </w:rPr>
        <w:t xml:space="preserve">Rule 701 </w:t>
      </w:r>
    </w:p>
    <w:p>
      <w:pPr>
        <w:pStyle w:val="TextBody"/>
        <w:bidi w:val="0"/>
        <w:spacing w:before="80" w:after="0"/>
        <w:jc w:val="left"/>
        <w:rPr>
          <w:rFonts w:ascii="Arial" w:hAnsi="Arial"/>
          <w:sz w:val="19"/>
        </w:rPr>
      </w:pPr>
      <w:r>
        <w:rPr>
          <w:rFonts w:ascii="Arial" w:hAnsi="Arial"/>
          <w:sz w:val="19"/>
        </w:rPr>
        <w:t xml:space="preserve">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and in the section titled “Underwriting.” </w:t>
      </w:r>
    </w:p>
    <w:p>
      <w:pPr>
        <w:pStyle w:val="TextBody"/>
        <w:bidi w:val="0"/>
        <w:spacing w:before="240" w:after="0"/>
        <w:jc w:val="left"/>
        <w:rPr>
          <w:rFonts w:ascii="Arial" w:hAnsi="Arial"/>
          <w:b/>
          <w:sz w:val="20"/>
        </w:rPr>
      </w:pPr>
      <w:r>
        <w:rPr>
          <w:rFonts w:ascii="Arial" w:hAnsi="Arial"/>
          <w:b/>
          <w:sz w:val="20"/>
        </w:rPr>
        <w:t xml:space="preserve">Form S-8 Registration Statement </w:t>
      </w:r>
    </w:p>
    <w:p>
      <w:pPr>
        <w:pStyle w:val="TextBody"/>
        <w:bidi w:val="0"/>
        <w:spacing w:before="80" w:after="0"/>
        <w:jc w:val="left"/>
        <w:rPr>
          <w:rFonts w:ascii="Arial" w:hAnsi="Arial"/>
          <w:sz w:val="19"/>
        </w:rPr>
      </w:pPr>
      <w:r>
        <w:rPr>
          <w:rFonts w:ascii="Arial" w:hAnsi="Arial"/>
          <w:sz w:val="19"/>
        </w:rPr>
        <w:t xml:space="preserve">We intend to file one or more registration statements on Form S-8 under the Securities Act to register all shares of our common stock subject to outstanding stock options and common stock issued or issuable under the 2022 Plan, the 2026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240" w:after="0"/>
        <w:jc w:val="left"/>
        <w:rPr>
          <w:rFonts w:ascii="Arial" w:hAnsi="Arial"/>
          <w:b/>
          <w:sz w:val="20"/>
        </w:rPr>
      </w:pPr>
      <w:r>
        <w:rPr>
          <w:rFonts w:ascii="Arial" w:hAnsi="Arial"/>
          <w:b/>
          <w:sz w:val="20"/>
        </w:rPr>
        <w:t xml:space="preserve">Lock-Up Agreements </w:t>
      </w:r>
    </w:p>
    <w:p>
      <w:pPr>
        <w:pStyle w:val="TextBody"/>
        <w:bidi w:val="0"/>
        <w:spacing w:before="80" w:after="0"/>
        <w:jc w:val="left"/>
        <w:rPr>
          <w:rFonts w:ascii="Arial" w:hAnsi="Arial"/>
          <w:sz w:val="19"/>
        </w:rPr>
      </w:pPr>
      <w:r>
        <w:rPr>
          <w:rFonts w:ascii="Arial" w:hAnsi="Arial"/>
          <w:sz w:val="19"/>
        </w:rPr>
        <w:t xml:space="preserve">We, our directors, executive officers, and the holders of substantially all of our equity securities, have agreed with the underwriters that for a period of 180 days after the date of this prospectus, subject to specified exceptions as detailed further in the section titled “Underwriting,” we or they will not, except with the prior written consent of Jefferies LLC and TD Securities (USA) LLC, offer, pledge, sell, contract to sell, sell any option or contract to purchase, purchase any option or contract to sell, grant any option, right, or warrant to sell or otherwise dispose of, or transfer any shares of our common stock or any securities convertible into or exercisable or exchangeable for shares of our common stock, request or demand that we file a registration statement related to our common stock, or enter into any swap or other agreement that transfers to another, in whole or in part, directly or indirectly, the economic consequence of ownership of the common stock. Substantially all of our optionholders are subject to a market stand-off agreement with us, which imposes similar restrictions. </w:t>
      </w:r>
    </w:p>
    <w:p>
      <w:pPr>
        <w:pStyle w:val="TextBody"/>
        <w:bidi w:val="0"/>
        <w:spacing w:before="180" w:after="0"/>
        <w:jc w:val="left"/>
        <w:rPr>
          <w:rFonts w:ascii="Arial" w:hAnsi="Arial"/>
          <w:sz w:val="19"/>
        </w:rPr>
      </w:pPr>
      <w:r>
        <w:rPr>
          <w:rFonts w:ascii="Arial" w:hAnsi="Arial"/>
          <w:sz w:val="19"/>
        </w:rPr>
        <w:t xml:space="preserve">Upon expiration of the lock-up period, certain of our stockholders will have the right to require us to register their shares under the Securities Act. See the sections titled “Registration Rights” below and “Description of Capital Stock—Registration rights.” </w:t>
      </w:r>
    </w:p>
    <w:p>
      <w:pPr>
        <w:pStyle w:val="TextBody"/>
        <w:bidi w:val="0"/>
        <w:spacing w:before="180" w:after="0"/>
        <w:jc w:val="left"/>
        <w:rPr>
          <w:rFonts w:ascii="Arial" w:hAnsi="Arial"/>
          <w:sz w:val="19"/>
        </w:rPr>
      </w:pPr>
      <w:r>
        <w:rPr>
          <w:rFonts w:ascii="Arial" w:hAnsi="Arial"/>
          <w:sz w:val="19"/>
        </w:rPr>
        <w:t xml:space="preserve">Upon the expiration of the lock-up period, substantially all of the shares subject to such lock-up restrictions will become eligible for sale, subject to the limitations discussed above. </w:t>
      </w:r>
    </w:p>
    <w:p>
      <w:pPr>
        <w:pStyle w:val="TextBody"/>
        <w:bidi w:val="0"/>
        <w:spacing w:before="240" w:after="0"/>
        <w:jc w:val="left"/>
        <w:rPr>
          <w:rFonts w:ascii="Arial" w:hAnsi="Arial"/>
          <w:b/>
          <w:sz w:val="20"/>
        </w:rPr>
      </w:pPr>
      <w:r>
        <w:rPr>
          <w:rFonts w:ascii="Arial" w:hAnsi="Arial"/>
          <w:b/>
          <w:sz w:val="20"/>
        </w:rPr>
        <w:t xml:space="preserve">Registration Rights </w:t>
      </w:r>
    </w:p>
    <w:p>
      <w:pPr>
        <w:pStyle w:val="TextBody"/>
        <w:bidi w:val="0"/>
        <w:spacing w:before="80" w:after="0"/>
        <w:jc w:val="left"/>
        <w:rPr>
          <w:rFonts w:ascii="Arial" w:hAnsi="Arial"/>
          <w:sz w:val="19"/>
        </w:rPr>
      </w:pPr>
      <w:r>
        <w:rPr>
          <w:rFonts w:ascii="Arial" w:hAnsi="Arial"/>
          <w:sz w:val="19"/>
        </w:rPr>
        <w:t xml:space="preserve">Upon the closing of this offering and the expiration or release from the terms of applicable lock-up agreements, holders of an aggregate of     shares of our common stock, which includes all of the shares of our common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stock issuable upon the automatic conversion of our redeemable convertible preferred stock immediately prior to the closing of this offering,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subsequently purchased by affiliates. See the section titled “Description of Capital Stock—Registration Rights” for additional information. </w:t>
      </w:r>
    </w:p>
    <w:p>
      <w:pPr>
        <w:pStyle w:val="TextBody"/>
        <w:bidi w:val="0"/>
        <w:spacing w:before="240" w:after="0"/>
        <w:jc w:val="left"/>
        <w:rPr>
          <w:rFonts w:ascii="Arial" w:hAnsi="Arial"/>
          <w:b/>
          <w:sz w:val="20"/>
        </w:rPr>
      </w:pPr>
      <w:r>
        <w:rPr>
          <w:rFonts w:ascii="Arial" w:hAnsi="Arial"/>
          <w:b/>
          <w:sz w:val="20"/>
        </w:rPr>
        <w:t xml:space="preserve">Rule 10b5-1 Sales Plans </w:t>
      </w:r>
    </w:p>
    <w:p>
      <w:pPr>
        <w:pStyle w:val="TextBody"/>
        <w:bidi w:val="0"/>
        <w:spacing w:before="80" w:after="0"/>
        <w:jc w:val="left"/>
        <w:rPr>
          <w:rFonts w:ascii="Arial" w:hAnsi="Arial"/>
          <w:sz w:val="19"/>
        </w:rPr>
      </w:pPr>
      <w:r>
        <w:rPr>
          <w:rFonts w:ascii="Arial" w:hAnsi="Arial"/>
          <w:sz w:val="19"/>
        </w:rPr>
        <w:t xml:space="preserve">After the closing of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9" w:name="toc61940_17"/>
      <w:bookmarkEnd w:id="19"/>
      <w:r>
        <w:rPr>
          <w:rFonts w:ascii="Arial" w:hAnsi="Arial"/>
          <w:b/>
          <w:sz w:val="20"/>
        </w:rPr>
        <w:t xml:space="preserve">MATERIAL U.S. FEDERAL INCOME TAX CONSEQUENCES TO NON-U.S. HOLDERS OF OUR COMMON STOCK </w:t>
      </w:r>
    </w:p>
    <w:p>
      <w:pPr>
        <w:pStyle w:val="TextBody"/>
        <w:bidi w:val="0"/>
        <w:spacing w:before="360" w:after="0"/>
        <w:jc w:val="left"/>
        <w:rPr>
          <w:rFonts w:ascii="Arial" w:hAnsi="Arial"/>
          <w:sz w:val="19"/>
        </w:rPr>
      </w:pPr>
      <w:r>
        <w:rPr>
          <w:rFonts w:ascii="Arial" w:hAnsi="Arial"/>
          <w:sz w:val="19"/>
        </w:rPr>
        <w:t xml:space="preserve">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provisions of the Code, or the special tax accounting rules under Section 451(b) of the Code, and does not address any estate or gift tax consequences or any tax consequences arising under any state, local, or non-U.S. tax laws, or any U.S. federal tax laws other than U.S. federal income tax laws. This discussion is based on the Code and applicable Treasury Regulations promulgated thereunder, published rulings and administrative pronouncements of the Internal Revenue Service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180" w:after="0"/>
        <w:jc w:val="left"/>
        <w:rPr>
          <w:rFonts w:ascii="Arial" w:hAnsi="Arial"/>
          <w:sz w:val="19"/>
        </w:rPr>
      </w:pPr>
      <w:r>
        <w:rPr>
          <w:rFonts w:ascii="Arial" w:hAnsi="Arial"/>
          <w:sz w:val="19"/>
        </w:rPr>
        <w:t xml:space="preserve">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U.S. federal income tax laws,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pPr>
            <w:r>
              <w:rPr/>
              <w:t>“</w:t>
            </w:r>
            <w:r>
              <w:rPr>
                <w:rFonts w:ascii="Arial" w:hAnsi="Arial"/>
                <w:sz w:val="19"/>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w:t>
            </w:r>
            <w:r>
              <w:rPr>
                <w:rFonts w:ascii="Arial" w:hAnsi="Arial"/>
                <w:sz w:val="19"/>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banks, financial institutions, investment funds, insurance companies, brokers, dealers, or traders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Arial" w:hAnsi="Arial"/>
                <w:sz w:val="19"/>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persons that own, or have owned, actually or constructively, more than 5% of our common stock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persons holding our common stock as part of a hedging or conversion transaction or straddle, a constructive sale, or other risk reduction strategy or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persons who acquire our common stock through the exercise of an employee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corporations organized outside of the United States, any state thereof and the District of Columbia that are nonetheless treated as U.S. taxpayers for U.S. federal income tax purposes. </w:t>
            </w:r>
          </w:p>
        </w:tc>
      </w:tr>
    </w:tbl>
    <w:p>
      <w:pPr>
        <w:pStyle w:val="TextBody"/>
        <w:bidi w:val="0"/>
        <w:spacing w:before="180" w:after="0"/>
        <w:jc w:val="left"/>
        <w:rPr>
          <w:rFonts w:ascii="Arial" w:hAnsi="Arial"/>
          <w:sz w:val="19"/>
        </w:rPr>
      </w:pPr>
      <w:r>
        <w:rPr>
          <w:rFonts w:ascii="Arial" w:hAnsi="Arial"/>
          <w:sz w:val="19"/>
        </w:rPr>
        <w:t xml:space="preserve">If an entity or arrangement that is classified as a partnership for U.S. federal income tax purposes holds our common stock, the U.S. federal income tax treatment of the partnership and the partners thereof generally depends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 </w:t>
      </w:r>
    </w:p>
    <w:p>
      <w:pPr>
        <w:pStyle w:val="TextBody"/>
        <w:bidi w:val="0"/>
        <w:spacing w:before="180" w:after="0"/>
        <w:jc w:val="left"/>
        <w:rPr>
          <w:rFonts w:ascii="Arial" w:hAnsi="Arial"/>
          <w:sz w:val="19"/>
        </w:rPr>
      </w:pPr>
      <w:r>
        <w:rPr>
          <w:rFonts w:ascii="Arial" w:hAnsi="Arial"/>
          <w:sz w:val="19"/>
        </w:rPr>
        <w:t xml:space="preserve">THIS DISCUSSION IS FOR INFORMATIONAL PURPOSES ONLY AND IS NOT TAX ADVICE. PROSPECTIVE INVESTORS SHOULD CONSULT THEIR TAX ADVISORS REGARDING THE PARTICULAR U.S. FEDERAL INCOME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TAX CONSEQUENCES TO THEM OF ACQUIRING, OWNING, AND DISPOSING OF OUR COMMON STOCK, AS WELL AS ANY TAX CONSEQUENCES ARISING UNDER ANY STATE, LOCAL, OR NON-U.S. TAX LAWS AND ANY OTHER U.S. FEDERAL TAX LAWS. </w:t>
      </w:r>
    </w:p>
    <w:p>
      <w:pPr>
        <w:pStyle w:val="TextBody"/>
        <w:bidi w:val="0"/>
        <w:spacing w:before="240" w:after="0"/>
        <w:jc w:val="left"/>
        <w:rPr>
          <w:rFonts w:ascii="Arial" w:hAnsi="Arial"/>
          <w:b/>
          <w:sz w:val="20"/>
        </w:rPr>
      </w:pPr>
      <w:r>
        <w:rPr>
          <w:rFonts w:ascii="Arial" w:hAnsi="Arial"/>
          <w:b/>
          <w:sz w:val="20"/>
        </w:rPr>
        <w:t xml:space="preserve">Definition of Non-U.S. Holder </w:t>
      </w:r>
    </w:p>
    <w:p>
      <w:pPr>
        <w:pStyle w:val="TextBody"/>
        <w:bidi w:val="0"/>
        <w:spacing w:before="80" w:after="0"/>
        <w:jc w:val="left"/>
        <w:rPr>
          <w:rFonts w:ascii="Arial" w:hAnsi="Arial"/>
          <w:sz w:val="19"/>
        </w:rPr>
      </w:pPr>
      <w:r>
        <w:rPr>
          <w:rFonts w:ascii="Arial" w:hAnsi="Arial"/>
          <w:sz w:val="19"/>
        </w:rPr>
        <w:t xml:space="preserve">For purposes of this discussion, the term “non-U.S. holder” means any beneficial owner of our common stock that is neither a “U.S. person” nor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 corporation (or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 </w:t>
            </w:r>
          </w:p>
        </w:tc>
      </w:tr>
    </w:tbl>
    <w:p>
      <w:pPr>
        <w:pStyle w:val="TextBody"/>
        <w:bidi w:val="0"/>
        <w:spacing w:before="240" w:after="0"/>
        <w:jc w:val="left"/>
        <w:rPr>
          <w:rFonts w:ascii="Arial" w:hAnsi="Arial"/>
          <w:b/>
          <w:sz w:val="20"/>
        </w:rPr>
      </w:pPr>
      <w:r>
        <w:rPr>
          <w:rFonts w:ascii="Arial" w:hAnsi="Arial"/>
          <w:b/>
          <w:sz w:val="20"/>
        </w:rPr>
        <w:t xml:space="preserve">Distributions on our Common Stock </w:t>
      </w:r>
    </w:p>
    <w:p>
      <w:pPr>
        <w:pStyle w:val="TextBody"/>
        <w:bidi w:val="0"/>
        <w:spacing w:before="80" w:after="0"/>
        <w:jc w:val="left"/>
        <w:rPr>
          <w:rFonts w:ascii="Arial" w:hAnsi="Arial"/>
          <w:sz w:val="19"/>
        </w:rPr>
      </w:pPr>
      <w:r>
        <w:rPr>
          <w:rFonts w:ascii="Arial" w:hAnsi="Arial"/>
          <w:sz w:val="19"/>
        </w:rPr>
        <w:t xml:space="preserve">As described in the section titled “Dividend Policy,” we have not paid cash dividends on our common stock and do not anticipate paying cash dividends on our common stock for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our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“—Gain on Disposition of our Common Stock” below. </w:t>
      </w:r>
    </w:p>
    <w:p>
      <w:pPr>
        <w:pStyle w:val="TextBody"/>
        <w:bidi w:val="0"/>
        <w:spacing w:before="180" w:after="0"/>
        <w:jc w:val="left"/>
        <w:rPr>
          <w:rFonts w:ascii="Arial" w:hAnsi="Arial"/>
          <w:sz w:val="19"/>
        </w:rPr>
      </w:pPr>
      <w:r>
        <w:rPr>
          <w:rFonts w:ascii="Arial" w:hAnsi="Arial"/>
          <w:sz w:val="19"/>
        </w:rPr>
        <w:t xml:space="preserve">Subject to the discussions below regarding effectively connected income, backup withholding, and Sections 1471 through 1474 of the Code (commonly referred to as the Foreign Account Tax Compliance Act (FATCA)), dividends paid to a non-U.S. holder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w:t>
      </w:r>
    </w:p>
    <w:p>
      <w:pPr>
        <w:pStyle w:val="TextBody"/>
        <w:bidi w:val="0"/>
        <w:spacing w:before="180" w:after="0"/>
        <w:jc w:val="left"/>
        <w:rPr>
          <w:rFonts w:ascii="Arial" w:hAnsi="Arial"/>
          <w:sz w:val="19"/>
        </w:rPr>
      </w:pPr>
      <w:r>
        <w:rPr>
          <w:rFonts w:ascii="Arial" w:hAnsi="Arial"/>
          <w:sz w:val="19"/>
        </w:rPr>
        <w:t xml:space="preserve">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in the United States), the non-U.S. holder generally will be exempt from U.S. federal withholding tax, provided such non-U.S. holder complies with applicable certification and disclosure requirements. To claim the exemption, the non-U.S. holder generally must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240" w:after="0"/>
        <w:jc w:val="left"/>
        <w:rPr>
          <w:rFonts w:ascii="Arial" w:hAnsi="Arial"/>
          <w:b/>
          <w:sz w:val="20"/>
        </w:rPr>
      </w:pPr>
      <w:r>
        <w:rPr>
          <w:rFonts w:ascii="Arial" w:hAnsi="Arial"/>
          <w:b/>
          <w:sz w:val="20"/>
        </w:rPr>
        <w:t xml:space="preserve">Gain on Disposition of our Common Stock </w:t>
      </w:r>
    </w:p>
    <w:p>
      <w:pPr>
        <w:pStyle w:val="TextBody"/>
        <w:bidi w:val="0"/>
        <w:spacing w:before="80" w:after="0"/>
        <w:jc w:val="left"/>
        <w:rPr>
          <w:rFonts w:ascii="Arial" w:hAnsi="Arial"/>
          <w:sz w:val="19"/>
        </w:rPr>
      </w:pPr>
      <w:r>
        <w:rPr>
          <w:rFonts w:ascii="Arial" w:hAnsi="Arial"/>
          <w:sz w:val="19"/>
        </w:rPr>
        <w:t xml:space="preserve">Subject to the discussions below regarding backup withholding and FATCA, a non-U.S. holder generally will not be subject to U.S. federal income tax on any gain realized 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gain is effectively connected with the non-U.S. holder’s conduct of a trade or business in the United States, and if required by an applicable income tax treaty, is attributable to a permanent establishment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our common stock constitutes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 </w:t>
            </w:r>
          </w:p>
        </w:tc>
      </w:tr>
    </w:tbl>
    <w:p>
      <w:pPr>
        <w:pStyle w:val="TextBody"/>
        <w:bidi w:val="0"/>
        <w:spacing w:before="180" w:after="0"/>
        <w:jc w:val="left"/>
        <w:rPr>
          <w:rFonts w:ascii="Arial" w:hAnsi="Arial"/>
          <w:sz w:val="19"/>
        </w:rPr>
      </w:pPr>
      <w:r>
        <w:rPr>
          <w:rFonts w:ascii="Arial" w:hAnsi="Arial"/>
          <w:sz w:val="19"/>
        </w:rPr>
        <w:t xml:space="preserve">The determination of whether we are a USRPHC depends on the fair market value of our USRPIs relative to the fair market value of worldwide real property interests and our other assets used or held for use in a trade or business. We believe that we are not currently, and we do not anticipate becoming, a USRPHC for U.S. federal income tax purposes, although there can be no assurance we will not become a USRPHC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Prospective investors are encouraged to consult their own tax advisors regarding the possible consequences to them if we are, or were to become, a USRPHC. </w:t>
      </w:r>
    </w:p>
    <w:p>
      <w:pPr>
        <w:pStyle w:val="TextBody"/>
        <w:bidi w:val="0"/>
        <w:spacing w:before="180" w:after="0"/>
        <w:jc w:val="left"/>
        <w:rPr>
          <w:rFonts w:ascii="Arial" w:hAnsi="Arial"/>
          <w:sz w:val="19"/>
        </w:rPr>
      </w:pPr>
      <w:r>
        <w:rPr>
          <w:rFonts w:ascii="Arial" w:hAnsi="Arial"/>
          <w:sz w:val="19"/>
        </w:rPr>
        <w:t xml:space="preserve">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(unless an applicable income tax treaty provides for different treatment)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common stock, but such gain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240" w:after="0"/>
        <w:jc w:val="left"/>
        <w:rPr>
          <w:rFonts w:ascii="Arial" w:hAnsi="Arial"/>
          <w:b/>
          <w:sz w:val="20"/>
        </w:rPr>
      </w:pPr>
      <w:r>
        <w:rPr>
          <w:rFonts w:ascii="Arial" w:hAnsi="Arial"/>
          <w:b/>
          <w:sz w:val="20"/>
        </w:rPr>
        <w:t xml:space="preserve">Information Reporting and Backup Withholding </w:t>
      </w:r>
    </w:p>
    <w:p>
      <w:pPr>
        <w:pStyle w:val="TextBody"/>
        <w:bidi w:val="0"/>
        <w:spacing w:before="80" w:after="0"/>
        <w:jc w:val="left"/>
        <w:rPr>
          <w:rFonts w:ascii="Arial" w:hAnsi="Arial"/>
          <w:sz w:val="19"/>
        </w:rPr>
      </w:pPr>
      <w:r>
        <w:rPr>
          <w:rFonts w:ascii="Arial" w:hAnsi="Arial"/>
          <w:sz w:val="19"/>
        </w:rPr>
        <w:t xml:space="preserve">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regardless of whether such distributions constitute dividends and even if no withholding was required.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applicable withholding agent has actual knowledge, or reason to know, that the holder is a U.S. person who is not an exempt recipient.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240" w:after="0"/>
        <w:jc w:val="left"/>
        <w:rPr>
          <w:rFonts w:ascii="Arial" w:hAnsi="Arial"/>
          <w:b/>
          <w:sz w:val="20"/>
        </w:rPr>
      </w:pPr>
      <w:r>
        <w:rPr>
          <w:rFonts w:ascii="Arial" w:hAnsi="Arial"/>
          <w:b/>
          <w:sz w:val="20"/>
        </w:rPr>
        <w:t xml:space="preserve">FATCA </w:t>
      </w:r>
    </w:p>
    <w:p>
      <w:pPr>
        <w:pStyle w:val="TextBody"/>
        <w:bidi w:val="0"/>
        <w:spacing w:before="80" w:after="0"/>
        <w:jc w:val="left"/>
        <w:rPr>
          <w:rFonts w:ascii="Arial" w:hAnsi="Arial"/>
          <w:sz w:val="19"/>
        </w:rPr>
      </w:pPr>
      <w:r>
        <w:rPr>
          <w:rFonts w:ascii="Arial" w:hAnsi="Arial"/>
          <w:sz w:val="19"/>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certain U.S. source payments such as dividends paid on our common stock. Under applicable Treasury Regulations and administrative guidance, withholding under FATCA would have applied to payments of gross proceeds from the sale or other disposition of stock, but under proposed Treasury Regulations (the preamble to which specifies that taxpayers are permitted to rely on such proposed regulations pending finalization), no withholding would apply with respect to payments of gross proceeds. </w:t>
      </w:r>
    </w:p>
    <w:p>
      <w:pPr>
        <w:pStyle w:val="TextBody"/>
        <w:bidi w:val="0"/>
        <w:spacing w:before="180" w:after="0"/>
        <w:jc w:val="left"/>
        <w:rPr>
          <w:rFonts w:ascii="Arial" w:hAnsi="Arial"/>
          <w:sz w:val="19"/>
        </w:rPr>
      </w:pPr>
      <w:r>
        <w:rPr>
          <w:rFonts w:ascii="Arial" w:hAnsi="Arial"/>
          <w:sz w:val="19"/>
        </w:rPr>
        <w:t xml:space="preserve">Prospective investors are encouraged to consult with their own tax advisors regarding the possible implications of the FATCA rules on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0" w:name="toc61940_18"/>
      <w:bookmarkEnd w:id="20"/>
      <w:r>
        <w:rPr>
          <w:rFonts w:ascii="Arial" w:hAnsi="Arial"/>
          <w:b/>
          <w:sz w:val="20"/>
        </w:rPr>
        <w:t xml:space="preserve">UNDERWRITING </w:t>
      </w:r>
    </w:p>
    <w:p>
      <w:pPr>
        <w:pStyle w:val="TextBody"/>
        <w:bidi w:val="0"/>
        <w:spacing w:before="360" w:after="0"/>
        <w:jc w:val="left"/>
        <w:rPr>
          <w:rFonts w:ascii="Arial" w:hAnsi="Arial"/>
          <w:sz w:val="19"/>
        </w:rPr>
      </w:pPr>
      <w:r>
        <w:rPr>
          <w:rFonts w:ascii="Arial" w:hAnsi="Arial"/>
          <w:sz w:val="19"/>
        </w:rPr>
        <w:t xml:space="preserve">Subject to the terms and conditions set forth in the underwriting agreement, dated     , 2026, among us and Jefferies LLC, TD Securities (USA) LLC, Evercore Group L.L.C.,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4"/>
        <w:gridCol w:w="143"/>
        <w:gridCol w:w="70"/>
        <w:gridCol w:w="1456"/>
        <w:gridCol w:w="62"/>
      </w:tblGrid>
      <w:tr>
        <w:trPr/>
        <w:tc>
          <w:tcPr>
            <w:tcW w:w="847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474"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UNDERWRITER</w:t>
            </w:r>
          </w:p>
        </w:tc>
        <w:tc>
          <w:tcPr>
            <w:tcW w:w="143" w:type="dxa"/>
            <w:tcBorders/>
            <w:vAlign w:val="bottom"/>
          </w:tcPr>
          <w:p>
            <w:pPr>
              <w:pStyle w:val="TableContents"/>
              <w:bidi w:val="0"/>
              <w:spacing w:before="0" w:after="283"/>
              <w:jc w:val="left"/>
              <w:rPr/>
            </w:pPr>
            <w:r>
              <w:rPr/>
              <w:t>  </w:t>
            </w:r>
          </w:p>
        </w:tc>
        <w:tc>
          <w:tcPr>
            <w:tcW w:w="15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8474" w:type="dxa"/>
            <w:tcBorders/>
            <w:shd w:fill="CCEEFF" w:val="clear"/>
          </w:tcPr>
          <w:p>
            <w:pPr>
              <w:pStyle w:val="TableContents"/>
              <w:bidi w:val="0"/>
              <w:spacing w:before="0" w:after="0"/>
              <w:jc w:val="left"/>
              <w:rPr>
                <w:rFonts w:ascii="Arial" w:hAnsi="Arial"/>
                <w:sz w:val="19"/>
              </w:rPr>
            </w:pPr>
            <w:r>
              <w:rPr>
                <w:rFonts w:ascii="Arial" w:hAnsi="Arial"/>
                <w:sz w:val="19"/>
              </w:rPr>
              <w:t>Jefferies LLC</w:t>
            </w:r>
          </w:p>
        </w:tc>
        <w:tc>
          <w:tcPr>
            <w:tcW w:w="14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474" w:type="dxa"/>
            <w:tcBorders/>
          </w:tcPr>
          <w:p>
            <w:pPr>
              <w:pStyle w:val="TableContents"/>
              <w:bidi w:val="0"/>
              <w:spacing w:before="0" w:after="0"/>
              <w:jc w:val="left"/>
              <w:rPr>
                <w:rFonts w:ascii="Arial" w:hAnsi="Arial"/>
                <w:sz w:val="19"/>
              </w:rPr>
            </w:pPr>
            <w:r>
              <w:rPr>
                <w:rFonts w:ascii="Arial" w:hAnsi="Arial"/>
                <w:sz w:val="19"/>
              </w:rPr>
              <w:t>TD Securities (USA) LLC</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45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474" w:type="dxa"/>
            <w:tcBorders/>
            <w:shd w:fill="CCEEFF" w:val="clear"/>
          </w:tcPr>
          <w:p>
            <w:pPr>
              <w:pStyle w:val="TableContents"/>
              <w:bidi w:val="0"/>
              <w:spacing w:before="0" w:after="0"/>
              <w:jc w:val="left"/>
              <w:rPr>
                <w:rFonts w:ascii="Arial" w:hAnsi="Arial"/>
                <w:sz w:val="19"/>
              </w:rPr>
            </w:pPr>
            <w:r>
              <w:rPr>
                <w:rFonts w:ascii="Arial" w:hAnsi="Arial"/>
                <w:sz w:val="19"/>
              </w:rPr>
              <w:t>Evercore Group L.L.C.</w:t>
            </w:r>
          </w:p>
        </w:tc>
        <w:tc>
          <w:tcPr>
            <w:tcW w:w="14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45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474" w:type="dxa"/>
            <w:tcBorders/>
          </w:tcPr>
          <w:p>
            <w:pPr>
              <w:pStyle w:val="TableContents"/>
              <w:bidi w:val="0"/>
              <w:spacing w:before="0" w:after="0"/>
              <w:jc w:val="left"/>
              <w:rPr>
                <w:rFonts w:ascii="Arial" w:hAnsi="Arial"/>
                <w:sz w:val="19"/>
              </w:rPr>
            </w:pPr>
            <w:r>
              <w:rPr>
                <w:rFonts w:ascii="Arial" w:hAnsi="Arial"/>
                <w:sz w:val="19"/>
              </w:rPr>
              <w:t>Cantor Fitzgerald &amp; Co.</w:t>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1456"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474"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45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474"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4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8474"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45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bidi w:val="0"/>
        <w:spacing w:before="180" w:after="0"/>
        <w:jc w:val="left"/>
        <w:rPr>
          <w:rFonts w:ascii="Arial" w:hAnsi="Arial"/>
          <w:sz w:val="19"/>
        </w:rPr>
      </w:pPr>
      <w:r>
        <w:rPr>
          <w:rFonts w:ascii="Arial" w:hAnsi="Arial"/>
          <w:sz w:val="19"/>
        </w:rPr>
        <w:t xml:space="preserve">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180" w:after="0"/>
        <w:jc w:val="left"/>
        <w:rPr>
          <w:rFonts w:ascii="Arial" w:hAnsi="Arial"/>
          <w:sz w:val="19"/>
        </w:rPr>
      </w:pPr>
      <w:r>
        <w:rPr>
          <w:rFonts w:ascii="Arial" w:hAnsi="Arial"/>
          <w:sz w:val="19"/>
        </w:rPr>
        <w:t xml:space="preserve">The underwriters are offering the shares of common stock subject to their acceptance of the shares of common stock from us and subject to prior sale. The underwriters reserve the right to withdraw, cancel or modify offers to the public and to reject orders in whole or in part. </w:t>
      </w:r>
    </w:p>
    <w:p>
      <w:pPr>
        <w:pStyle w:val="TextBody"/>
        <w:bidi w:val="0"/>
        <w:spacing w:before="240" w:after="0"/>
        <w:jc w:val="left"/>
        <w:rPr>
          <w:rFonts w:ascii="Arial" w:hAnsi="Arial"/>
          <w:b/>
          <w:sz w:val="20"/>
        </w:rPr>
      </w:pPr>
      <w:r>
        <w:rPr>
          <w:rFonts w:ascii="Arial" w:hAnsi="Arial"/>
          <w:b/>
          <w:sz w:val="20"/>
        </w:rPr>
        <w:t xml:space="preserve">Commission and Expenses </w:t>
      </w:r>
    </w:p>
    <w:p>
      <w:pPr>
        <w:pStyle w:val="TextBody"/>
        <w:bidi w:val="0"/>
        <w:spacing w:before="80" w:after="0"/>
        <w:jc w:val="left"/>
        <w:rPr>
          <w:rFonts w:ascii="Arial" w:hAnsi="Arial"/>
          <w:sz w:val="19"/>
        </w:rPr>
      </w:pPr>
      <w:r>
        <w:rPr>
          <w:rFonts w:ascii="Arial" w:hAnsi="Arial"/>
          <w:sz w:val="19"/>
        </w:rPr>
        <w:t xml:space="preserve">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$    per share of common stock. After the offering, the initial public offering price and concession to dealers may be reduced by the representatives. No such reduction will change the amount of proceeds to be received by us as set forth on the cover page of this prospectus.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6"/>
        <w:gridCol w:w="165"/>
        <w:gridCol w:w="191"/>
        <w:gridCol w:w="1420"/>
        <w:gridCol w:w="60"/>
        <w:gridCol w:w="165"/>
        <w:gridCol w:w="191"/>
        <w:gridCol w:w="1420"/>
        <w:gridCol w:w="60"/>
        <w:gridCol w:w="165"/>
        <w:gridCol w:w="191"/>
        <w:gridCol w:w="1420"/>
        <w:gridCol w:w="60"/>
        <w:gridCol w:w="165"/>
        <w:gridCol w:w="191"/>
        <w:gridCol w:w="1420"/>
        <w:gridCol w:w="65"/>
      </w:tblGrid>
      <w:tr>
        <w:trPr/>
        <w:tc>
          <w:tcPr>
            <w:tcW w:w="285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4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44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WITH</w:t>
              <w:br/>
              <w:t>OPTION TO</w:t>
              <w:br/>
              <w:t>PURCHASE</w:t>
              <w:br/>
              <w:t>ADDITIONAL</w:t>
              <w:br/>
              <w:t>SHARES</w:t>
            </w:r>
          </w:p>
        </w:tc>
        <w:tc>
          <w:tcPr>
            <w:tcW w:w="65"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Arial" w:hAnsi="Arial"/>
                <w:sz w:val="19"/>
              </w:rPr>
            </w:pPr>
            <w:r>
              <w:rPr>
                <w:rFonts w:ascii="Arial" w:hAnsi="Arial"/>
                <w:sz w:val="19"/>
              </w:rPr>
              <w:t>Public offering price</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56" w:type="dxa"/>
            <w:tcBorders/>
          </w:tcPr>
          <w:p>
            <w:pPr>
              <w:pStyle w:val="TableContents"/>
              <w:bidi w:val="0"/>
              <w:spacing w:before="0" w:after="0"/>
              <w:jc w:val="left"/>
              <w:rPr>
                <w:rFonts w:ascii="Arial" w:hAnsi="Arial"/>
                <w:sz w:val="19"/>
              </w:rPr>
            </w:pPr>
            <w:r>
              <w:rPr>
                <w:rFonts w:ascii="Arial" w:hAnsi="Arial"/>
                <w:sz w:val="19"/>
              </w:rPr>
              <w:t>Underwriting discounts and commissions paid by us</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42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56" w:type="dxa"/>
            <w:tcBorders/>
            <w:shd w:fill="CCEEFF" w:val="clear"/>
          </w:tcPr>
          <w:p>
            <w:pPr>
              <w:pStyle w:val="TableContents"/>
              <w:bidi w:val="0"/>
              <w:spacing w:before="0" w:after="0"/>
              <w:jc w:val="left"/>
              <w:rPr>
                <w:rFonts w:ascii="Arial" w:hAnsi="Arial"/>
                <w:sz w:val="19"/>
              </w:rPr>
            </w:pPr>
            <w:r>
              <w:rPr>
                <w:rFonts w:ascii="Arial" w:hAnsi="Arial"/>
                <w:sz w:val="19"/>
              </w:rPr>
              <w:t>Proceeds to us, before expenses</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4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We estimate expenses payable by us in connection with this offering, other than the underwriting discounts and commissions referred to above, will be approximately $    . We have agreed to reimburse the underwriters for certain of their expenses, up to $    . </w:t>
      </w:r>
    </w:p>
    <w:p>
      <w:pPr>
        <w:pStyle w:val="TextBody"/>
        <w:bidi w:val="0"/>
        <w:spacing w:before="240" w:after="0"/>
        <w:jc w:val="left"/>
        <w:rPr>
          <w:rFonts w:ascii="Arial" w:hAnsi="Arial"/>
          <w:b/>
          <w:sz w:val="20"/>
        </w:rPr>
      </w:pPr>
      <w:r>
        <w:rPr>
          <w:rFonts w:ascii="Arial" w:hAnsi="Arial"/>
          <w:b/>
          <w:sz w:val="20"/>
        </w:rPr>
        <w:t xml:space="preserve">Determination of Offering Price </w:t>
      </w:r>
    </w:p>
    <w:p>
      <w:pPr>
        <w:pStyle w:val="TextBody"/>
        <w:bidi w:val="0"/>
        <w:spacing w:before="80" w:after="0"/>
        <w:jc w:val="left"/>
        <w:rPr>
          <w:rFonts w:ascii="Arial" w:hAnsi="Arial"/>
          <w:sz w:val="19"/>
        </w:rPr>
      </w:pPr>
      <w:r>
        <w:rPr>
          <w:rFonts w:ascii="Arial" w:hAnsi="Arial"/>
          <w:sz w:val="19"/>
        </w:rPr>
        <w:t xml:space="preserve">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 </w:t>
      </w:r>
    </w:p>
    <w:p>
      <w:pPr>
        <w:pStyle w:val="TextBody"/>
        <w:bidi w:val="0"/>
        <w:spacing w:before="180" w:after="0"/>
        <w:jc w:val="left"/>
        <w:rPr>
          <w:rFonts w:ascii="Arial" w:hAnsi="Arial"/>
          <w:sz w:val="19"/>
        </w:rPr>
      </w:pPr>
      <w:r>
        <w:rPr>
          <w:rFonts w:ascii="Arial" w:hAnsi="Arial"/>
          <w:sz w:val="19"/>
        </w:rPr>
        <w:t xml:space="preserve">We offer no assurances that the initial public offering price will correspond to the price at which the common stock will trade in the public market subsequent to the offering or that an active trading market for the common stock will develop and continue after the offering. </w:t>
      </w:r>
    </w:p>
    <w:p>
      <w:pPr>
        <w:pStyle w:val="TextBody"/>
        <w:bidi w:val="0"/>
        <w:spacing w:before="240" w:after="0"/>
        <w:jc w:val="left"/>
        <w:rPr>
          <w:rFonts w:ascii="Arial" w:hAnsi="Arial"/>
          <w:b/>
          <w:sz w:val="20"/>
        </w:rPr>
      </w:pPr>
      <w:r>
        <w:rPr>
          <w:rFonts w:ascii="Arial" w:hAnsi="Arial"/>
          <w:b/>
          <w:sz w:val="20"/>
        </w:rPr>
        <w:t xml:space="preserve">Listing </w:t>
      </w:r>
    </w:p>
    <w:p>
      <w:pPr>
        <w:pStyle w:val="TextBody"/>
        <w:bidi w:val="0"/>
        <w:spacing w:before="80" w:after="0"/>
        <w:jc w:val="left"/>
        <w:rPr>
          <w:rFonts w:ascii="Arial" w:hAnsi="Arial"/>
          <w:sz w:val="19"/>
        </w:rPr>
      </w:pPr>
      <w:r>
        <w:rPr>
          <w:rFonts w:ascii="Arial" w:hAnsi="Arial"/>
          <w:sz w:val="19"/>
        </w:rPr>
        <w:t xml:space="preserve">We have applied to have our common stock listed on the Nasdaq Global Select Market under the trading symbol “ETRA.” </w:t>
      </w:r>
    </w:p>
    <w:p>
      <w:pPr>
        <w:pStyle w:val="TextBody"/>
        <w:bidi w:val="0"/>
        <w:spacing w:before="240" w:after="0"/>
        <w:jc w:val="left"/>
        <w:rPr>
          <w:rFonts w:ascii="Arial" w:hAnsi="Arial"/>
          <w:b/>
          <w:sz w:val="20"/>
        </w:rPr>
      </w:pPr>
      <w:r>
        <w:rPr>
          <w:rFonts w:ascii="Arial" w:hAnsi="Arial"/>
          <w:b/>
          <w:sz w:val="20"/>
        </w:rPr>
        <w:t xml:space="preserve">Stamp Taxes </w:t>
      </w:r>
    </w:p>
    <w:p>
      <w:pPr>
        <w:pStyle w:val="TextBody"/>
        <w:bidi w:val="0"/>
        <w:spacing w:before="80" w:after="0"/>
        <w:jc w:val="left"/>
        <w:rPr>
          <w:rFonts w:ascii="Arial" w:hAnsi="Arial"/>
          <w:sz w:val="19"/>
        </w:rPr>
      </w:pPr>
      <w:r>
        <w:rPr>
          <w:rFonts w:ascii="Arial" w:hAnsi="Arial"/>
          <w:sz w:val="19"/>
        </w:rPr>
        <w:t xml:space="preserve">If you purchase shares of common stock offered in this prospectus, you may be required to pay stamp taxes and other charges under the laws and practices of the country of purchase, in addition to the offering price listed on the cover page of this prospectus. </w:t>
      </w:r>
    </w:p>
    <w:p>
      <w:pPr>
        <w:pStyle w:val="TextBody"/>
        <w:bidi w:val="0"/>
        <w:spacing w:before="240" w:after="0"/>
        <w:jc w:val="left"/>
        <w:rPr>
          <w:rFonts w:ascii="Arial" w:hAnsi="Arial"/>
          <w:b/>
          <w:sz w:val="20"/>
        </w:rPr>
      </w:pPr>
      <w:r>
        <w:rPr>
          <w:rFonts w:ascii="Arial" w:hAnsi="Arial"/>
          <w:b/>
          <w:sz w:val="20"/>
        </w:rPr>
        <w:t xml:space="preserve">Option to Purchase Additional Shares </w:t>
      </w:r>
    </w:p>
    <w:p>
      <w:pPr>
        <w:pStyle w:val="TextBody"/>
        <w:bidi w:val="0"/>
        <w:spacing w:before="80" w:after="0"/>
        <w:jc w:val="left"/>
        <w:rPr>
          <w:rFonts w:ascii="Arial" w:hAnsi="Arial"/>
          <w:sz w:val="19"/>
        </w:rPr>
      </w:pPr>
      <w:r>
        <w:rPr>
          <w:rFonts w:ascii="Arial" w:hAnsi="Arial"/>
          <w:sz w:val="19"/>
        </w:rPr>
        <w:t xml:space="preserve">We have granted to the underwriters an option, exercisable for 30 days from the date of this prospectus, to purchase, from time to time, in whole 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 </w:t>
      </w:r>
    </w:p>
    <w:p>
      <w:pPr>
        <w:pStyle w:val="TextBody"/>
        <w:bidi w:val="0"/>
        <w:spacing w:before="240" w:after="0"/>
        <w:jc w:val="left"/>
        <w:rPr>
          <w:rFonts w:ascii="Arial" w:hAnsi="Arial"/>
          <w:b/>
          <w:sz w:val="20"/>
        </w:rPr>
      </w:pPr>
      <w:r>
        <w:rPr>
          <w:rFonts w:ascii="Arial" w:hAnsi="Arial"/>
          <w:b/>
          <w:sz w:val="20"/>
        </w:rPr>
        <w:t xml:space="preserve">No Sales of Similar Securities </w:t>
      </w:r>
    </w:p>
    <w:p>
      <w:pPr>
        <w:pStyle w:val="TextBody"/>
        <w:bidi w:val="0"/>
        <w:spacing w:before="80" w:after="0"/>
        <w:jc w:val="left"/>
        <w:rPr>
          <w:rFonts w:ascii="Arial" w:hAnsi="Arial"/>
          <w:sz w:val="19"/>
        </w:rPr>
      </w:pPr>
      <w:r>
        <w:rPr>
          <w:rFonts w:ascii="Arial" w:hAnsi="Arial"/>
          <w:sz w:val="19"/>
        </w:rPr>
        <w:t xml:space="preserve">We, our officers, directors, and holders of all or substantially all of our outstanding capital stock and other securities have agreed, subject to specified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sell, offer to sell, contract or grant any option to sell (including any short sale), pledge, transfer, establish an open “put equivalent position” within the meaning of Rule 16a-1(h) under the Exchange Act, or otherwise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Arial" w:hAnsi="Arial"/>
                <w:sz w:val="19"/>
              </w:rPr>
            </w:pPr>
            <w:r>
              <w:rPr>
                <w:rFonts w:ascii="Arial" w:hAnsi="Arial"/>
                <w:sz w:val="19"/>
              </w:rPr>
              <w:t xml:space="preserve">dispose of any shares of common stock, options, or warrants to acquire shares of common stock, or securities exchangeable or exercisable for or convertible into shares of common stock currently or hereafter owned either of record or beneficially,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publicly announce an intention to do any of the foregoing for a period of 180 days after the date of this prospectus without the prior written consent of Jefferies LLC and TD Securities (USA) LLC. </w:t>
            </w:r>
          </w:p>
        </w:tc>
      </w:tr>
    </w:tbl>
    <w:p>
      <w:pPr>
        <w:pStyle w:val="TextBody"/>
        <w:bidi w:val="0"/>
        <w:spacing w:before="180" w:after="0"/>
        <w:jc w:val="left"/>
        <w:rPr>
          <w:rFonts w:ascii="Arial" w:hAnsi="Arial"/>
          <w:sz w:val="19"/>
        </w:rPr>
      </w:pPr>
      <w:r>
        <w:rPr>
          <w:rFonts w:ascii="Arial" w:hAnsi="Arial"/>
          <w:sz w:val="19"/>
        </w:rPr>
        <w:t xml:space="preserve">This restriction terminates after the close of trading of the common stock on and including the 180th day after the date of this prospectus. </w:t>
      </w:r>
    </w:p>
    <w:p>
      <w:pPr>
        <w:pStyle w:val="TextBody"/>
        <w:bidi w:val="0"/>
        <w:spacing w:before="180" w:after="0"/>
        <w:jc w:val="left"/>
        <w:rPr>
          <w:rFonts w:ascii="Arial" w:hAnsi="Arial"/>
          <w:sz w:val="19"/>
        </w:rPr>
      </w:pPr>
      <w:r>
        <w:rPr>
          <w:rFonts w:ascii="Arial" w:hAnsi="Arial"/>
          <w:sz w:val="19"/>
        </w:rPr>
        <w:t xml:space="preserve">Notwithstanding the foregoing, the securityholder may transfer shares of common stock, or securities exchangeable or exercisable for or convertible into shares of common stock: </w:t>
      </w:r>
    </w:p>
    <w:p>
      <w:pPr>
        <w:pStyle w:val="TextBody"/>
        <w:bidi w:val="0"/>
        <w:spacing w:before="180" w:after="0"/>
        <w:jc w:val="left"/>
        <w:rPr>
          <w:rFonts w:ascii="Arial" w:hAnsi="Arial"/>
          <w:sz w:val="19"/>
        </w:rPr>
      </w:pPr>
      <w:r>
        <w:rPr>
          <w:rFonts w:ascii="Arial" w:hAnsi="Arial"/>
          <w:sz w:val="19"/>
        </w:rPr>
        <w:t xml:space="preserve">(i) by a </w:t>
      </w:r>
      <w:r>
        <w:rPr>
          <w:rFonts w:ascii="Arial" w:hAnsi="Arial"/>
          <w:i/>
          <w:sz w:val="19"/>
        </w:rPr>
        <w:t>bona fide</w:t>
      </w:r>
      <w:r>
        <w:rPr>
          <w:rFonts w:ascii="Arial" w:hAnsi="Arial"/>
          <w:sz w:val="19"/>
        </w:rPr>
        <w:t xml:space="preserve"> gift or gifts or charitable contributions, or for </w:t>
      </w:r>
      <w:r>
        <w:rPr>
          <w:rFonts w:ascii="Arial" w:hAnsi="Arial"/>
          <w:i/>
          <w:sz w:val="19"/>
        </w:rPr>
        <w:t>bona fide</w:t>
      </w:r>
      <w:r>
        <w:rPr>
          <w:rFonts w:ascii="Arial" w:hAnsi="Arial"/>
          <w:sz w:val="19"/>
        </w:rPr>
        <w:t xml:space="preserve"> estate planning purposes; </w:t>
      </w:r>
    </w:p>
    <w:p>
      <w:pPr>
        <w:pStyle w:val="TextBody"/>
        <w:bidi w:val="0"/>
        <w:spacing w:before="40" w:after="0"/>
        <w:jc w:val="left"/>
        <w:rPr>
          <w:rFonts w:ascii="Arial" w:hAnsi="Arial"/>
          <w:sz w:val="19"/>
        </w:rPr>
      </w:pPr>
      <w:r>
        <w:rPr>
          <w:rFonts w:ascii="Arial" w:hAnsi="Arial"/>
          <w:sz w:val="19"/>
        </w:rPr>
        <w:t xml:space="preserve">(ii) by will or intestate succession upon the death of the securityholder; </w:t>
      </w:r>
    </w:p>
    <w:p>
      <w:pPr>
        <w:pStyle w:val="TextBody"/>
        <w:bidi w:val="0"/>
        <w:spacing w:before="40" w:after="0"/>
        <w:jc w:val="left"/>
        <w:rPr>
          <w:rFonts w:ascii="Arial" w:hAnsi="Arial"/>
          <w:sz w:val="19"/>
        </w:rPr>
      </w:pPr>
      <w:r>
        <w:rPr>
          <w:rFonts w:ascii="Arial" w:hAnsi="Arial"/>
          <w:sz w:val="19"/>
        </w:rPr>
        <w:t xml:space="preserve">(iii) to any trust for the direct or indirect benefit of the securityholder or a family member of the securityholder; </w:t>
      </w:r>
    </w:p>
    <w:p>
      <w:pPr>
        <w:pStyle w:val="TextBody"/>
        <w:bidi w:val="0"/>
        <w:spacing w:before="40" w:after="0"/>
        <w:jc w:val="left"/>
        <w:rPr>
          <w:rFonts w:ascii="Arial" w:hAnsi="Arial"/>
          <w:sz w:val="19"/>
        </w:rPr>
      </w:pPr>
      <w:r>
        <w:rPr>
          <w:rFonts w:ascii="Arial" w:hAnsi="Arial"/>
          <w:sz w:val="19"/>
        </w:rPr>
        <w:t xml:space="preserve">(iv) to any family member of the securityholder; </w:t>
      </w:r>
    </w:p>
    <w:p>
      <w:pPr>
        <w:pStyle w:val="TextBody"/>
        <w:bidi w:val="0"/>
        <w:spacing w:before="40" w:after="0"/>
        <w:jc w:val="left"/>
        <w:rPr>
          <w:rFonts w:ascii="Arial" w:hAnsi="Arial"/>
          <w:sz w:val="19"/>
        </w:rPr>
      </w:pPr>
      <w:r>
        <w:rPr>
          <w:rFonts w:ascii="Arial" w:hAnsi="Arial"/>
          <w:sz w:val="19"/>
        </w:rPr>
        <w:t xml:space="preserve">(v) by operation of law pursuant to a court order or a settlement agreement related to the distribution of assets in connection with the dissolution of a marriage or civil union; </w:t>
      </w:r>
    </w:p>
    <w:p>
      <w:pPr>
        <w:pStyle w:val="TextBody"/>
        <w:bidi w:val="0"/>
        <w:spacing w:before="40" w:after="0"/>
        <w:jc w:val="left"/>
        <w:rPr>
          <w:rFonts w:ascii="Arial" w:hAnsi="Arial"/>
          <w:sz w:val="19"/>
        </w:rPr>
      </w:pPr>
      <w:r>
        <w:rPr>
          <w:rFonts w:ascii="Arial" w:hAnsi="Arial"/>
          <w:sz w:val="19"/>
        </w:rPr>
        <w:t xml:space="preserve">(vi) to any corporation, partnership, limited liability company, or other entity all of the beneficial ownership interests of which, in each case, are held by the securityholder; </w:t>
      </w:r>
    </w:p>
    <w:p>
      <w:pPr>
        <w:pStyle w:val="TextBody"/>
        <w:bidi w:val="0"/>
        <w:spacing w:before="40" w:after="0"/>
        <w:jc w:val="left"/>
        <w:rPr>
          <w:rFonts w:ascii="Arial" w:hAnsi="Arial"/>
          <w:sz w:val="19"/>
        </w:rPr>
      </w:pPr>
      <w:r>
        <w:rPr>
          <w:rFonts w:ascii="Arial" w:hAnsi="Arial"/>
          <w:sz w:val="19"/>
        </w:rPr>
        <w:t xml:space="preserve">(vii) in connection with a distribution or other transfer by a partnership to its partners or former partners or by a limited liability company to its members (including the contemplated distribution by Electra LLC of shares of our Series A redeemable convertible preferred stock to its equityholders prior to the closing of this offering) or retired members or by a corporation to its stockholders or former stockholders or to any wholly-owned subsidiary of such corporation; </w:t>
      </w:r>
    </w:p>
    <w:p>
      <w:pPr>
        <w:pStyle w:val="TextBody"/>
        <w:bidi w:val="0"/>
        <w:spacing w:before="40" w:after="0"/>
        <w:jc w:val="left"/>
        <w:rPr>
          <w:rFonts w:ascii="Arial" w:hAnsi="Arial"/>
          <w:sz w:val="19"/>
        </w:rPr>
      </w:pPr>
      <w:r>
        <w:rPr>
          <w:rFonts w:ascii="Arial" w:hAnsi="Arial"/>
          <w:sz w:val="19"/>
        </w:rPr>
        <w:t xml:space="preserve">(viii) to any affiliate of the securityholder, including investment funds, or other entities under common control or management that are affiliates of the securityholder; </w:t>
      </w:r>
    </w:p>
    <w:p>
      <w:pPr>
        <w:pStyle w:val="TextBody"/>
        <w:bidi w:val="0"/>
        <w:spacing w:before="40" w:after="0"/>
        <w:jc w:val="left"/>
        <w:rPr>
          <w:rFonts w:ascii="Arial" w:hAnsi="Arial"/>
          <w:sz w:val="19"/>
        </w:rPr>
      </w:pPr>
      <w:r>
        <w:rPr>
          <w:rFonts w:ascii="Arial" w:hAnsi="Arial"/>
          <w:sz w:val="19"/>
        </w:rPr>
        <w:t xml:space="preserve">(ix) if the securityholder is not one of our officers or directors, in connection with transactions relating to our shares of common stock acquired in this offering or in open market transactions on or after the completion of this offering; </w:t>
      </w:r>
    </w:p>
    <w:p>
      <w:pPr>
        <w:pStyle w:val="TextBody"/>
        <w:bidi w:val="0"/>
        <w:spacing w:before="40" w:after="0"/>
        <w:jc w:val="left"/>
        <w:rPr>
          <w:rFonts w:ascii="Arial" w:hAnsi="Arial"/>
          <w:sz w:val="19"/>
        </w:rPr>
      </w:pPr>
      <w:r>
        <w:rPr>
          <w:rFonts w:ascii="Arial" w:hAnsi="Arial"/>
          <w:sz w:val="19"/>
        </w:rPr>
        <w:t xml:space="preserve">(x) to us in connection with the exercise, vesting, exchange, or settlement of options, warrants, or other rights to acquire shares of common stock, including any security convertible into, exchangeable for, or that represent the right to receive shares of common stock, in accordance with their terms (including the vesting or settlement of restricted stock units and including, in each case, by way of net exercise and/or to cover withholding tax obligations in connection with such exercise, vesting, exchange, or settlement) pursuant to an employee benefit plan, option, warrant or other right disclosed in this prospectus; </w:t>
      </w:r>
    </w:p>
    <w:p>
      <w:pPr>
        <w:pStyle w:val="TextBody"/>
        <w:bidi w:val="0"/>
        <w:spacing w:before="40" w:after="0"/>
        <w:jc w:val="left"/>
        <w:rPr>
          <w:rFonts w:ascii="Arial" w:hAnsi="Arial"/>
          <w:sz w:val="19"/>
        </w:rPr>
      </w:pPr>
      <w:r>
        <w:rPr>
          <w:rFonts w:ascii="Arial" w:hAnsi="Arial"/>
          <w:sz w:val="19"/>
        </w:rPr>
        <w:t xml:space="preserve">(xi) to us in connection with (A) the termination of the securityholder’s employment with us or (B) any agreements under which we have the option to repurchase such shares; </w:t>
      </w:r>
    </w:p>
    <w:p>
      <w:pPr>
        <w:pStyle w:val="TextBody"/>
        <w:bidi w:val="0"/>
        <w:spacing w:before="40" w:after="0"/>
        <w:jc w:val="left"/>
        <w:rPr>
          <w:rFonts w:ascii="Arial" w:hAnsi="Arial"/>
          <w:sz w:val="19"/>
        </w:rPr>
      </w:pPr>
      <w:r>
        <w:rPr>
          <w:rFonts w:ascii="Arial" w:hAnsi="Arial"/>
          <w:sz w:val="19"/>
        </w:rPr>
        <w:t xml:space="preserve">(xii) upon exercise by the securityholder of any option to purchase any shares of common stock or the settlement of restricted stock units or other equity awards pursuant to any stock incentive plan or stock purchase plan disclosed in this prospectus, </w:t>
      </w:r>
      <w:r>
        <w:rPr>
          <w:rFonts w:ascii="Arial" w:hAnsi="Arial"/>
          <w:i/>
          <w:sz w:val="19"/>
        </w:rPr>
        <w:t>provided that</w:t>
      </w:r>
      <w:r>
        <w:rPr>
          <w:rFonts w:ascii="Arial" w:hAnsi="Arial"/>
          <w:sz w:val="19"/>
        </w:rPr>
        <w:t xml:space="preserve"> the underlying shares of common stock shall continue to be subject to the restrictions on transfer set forth in the lock-up agreement; </w:t>
      </w:r>
    </w:p>
    <w:p>
      <w:pPr>
        <w:pStyle w:val="TextBody"/>
        <w:bidi w:val="0"/>
        <w:spacing w:before="40" w:after="0"/>
        <w:jc w:val="left"/>
        <w:rPr>
          <w:rFonts w:ascii="Arial" w:hAnsi="Arial"/>
          <w:sz w:val="19"/>
        </w:rPr>
      </w:pPr>
      <w:r>
        <w:rPr>
          <w:rFonts w:ascii="Arial" w:hAnsi="Arial"/>
          <w:sz w:val="19"/>
        </w:rPr>
        <w:t xml:space="preserve">(xiii) in connection with the conversion of any outstanding preferred stock into shares of common stock, </w:t>
      </w:r>
      <w:r>
        <w:rPr>
          <w:rFonts w:ascii="Arial" w:hAnsi="Arial"/>
          <w:i/>
          <w:sz w:val="19"/>
        </w:rPr>
        <w:t>provided that</w:t>
      </w:r>
      <w:r>
        <w:rPr>
          <w:rFonts w:ascii="Arial" w:hAnsi="Arial"/>
          <w:sz w:val="19"/>
        </w:rPr>
        <w:t xml:space="preserve"> any such shares of common stock received upon such conversion shall be subject to the restrictions on transfer set forth in the lock-up agreement; and </w:t>
      </w:r>
    </w:p>
    <w:p>
      <w:pPr>
        <w:pStyle w:val="TextBody"/>
        <w:bidi w:val="0"/>
        <w:spacing w:before="40" w:after="0"/>
        <w:jc w:val="left"/>
        <w:rPr>
          <w:rFonts w:ascii="Arial" w:hAnsi="Arial"/>
          <w:sz w:val="19"/>
        </w:rPr>
      </w:pPr>
      <w:r>
        <w:rPr>
          <w:rFonts w:ascii="Arial" w:hAnsi="Arial"/>
          <w:sz w:val="19"/>
        </w:rPr>
        <w:t xml:space="preserve">(xiv) pursuant to a </w:t>
      </w:r>
      <w:r>
        <w:rPr>
          <w:rFonts w:ascii="Arial" w:hAnsi="Arial"/>
          <w:i/>
          <w:sz w:val="19"/>
        </w:rPr>
        <w:t>bona fide</w:t>
      </w:r>
      <w:r>
        <w:rPr>
          <w:rFonts w:ascii="Arial" w:hAnsi="Arial"/>
          <w:sz w:val="19"/>
        </w:rPr>
        <w:t xml:space="preserve"> third-party tender offer for our securities, merger, consolidation, or other similar transaction made to all holders of our securities involving a change of control, which transaction is approved by our board of directors, </w:t>
      </w:r>
      <w:r>
        <w:rPr>
          <w:rFonts w:ascii="Arial" w:hAnsi="Arial"/>
          <w:i/>
          <w:sz w:val="19"/>
        </w:rPr>
        <w:t>provided that</w:t>
      </w:r>
      <w:r>
        <w:rPr>
          <w:rFonts w:ascii="Arial" w:hAnsi="Arial"/>
          <w:sz w:val="19"/>
        </w:rPr>
        <w:t xml:space="preserve"> it shall be a condition of the transfer that if the tender offer, merger, consolidation, or other such transaction is not completed, the securityholder’s securities, which are subject to the lock-up agreement shall remain subject to the restrictions set forth in such lock-up agreement; </w:t>
      </w:r>
    </w:p>
    <w:p>
      <w:pPr>
        <w:pStyle w:val="TextBody"/>
        <w:bidi w:val="0"/>
        <w:spacing w:before="180" w:after="0"/>
        <w:jc w:val="left"/>
        <w:rPr>
          <w:rFonts w:ascii="Arial" w:hAnsi="Arial"/>
          <w:sz w:val="19"/>
        </w:rPr>
      </w:pPr>
      <w:r>
        <w:rPr>
          <w:rFonts w:ascii="Arial" w:hAnsi="Arial"/>
          <w:i/>
          <w:sz w:val="19"/>
        </w:rPr>
        <w:t>provided that,</w:t>
      </w:r>
      <w:r>
        <w:rPr>
          <w:rFonts w:ascii="Arial" w:hAnsi="Arial"/>
          <w:sz w:val="19"/>
        </w:rPr>
        <w:t xml:space="preserve"> in the case of (a) clauses (i)-(viii), that (x) such transfer shall not involve a disposition for value and (y) any such transferee executes and delivers to the representatives a lock-up agreement; (b) clauses (vi) through (ix),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that no public disclosure nor any filing by any party under Section 16(a) of the Exchange Act shall be required or shall be made voluntarily in connection with such transfer; and (c) clauses (i) through (v) and (x) through (xiii), that (x) no public disclosure nor any filing by any party under Section 16(a) of the Exchange Act shall be made voluntarily in connection with such transfer and (y) any required filing by any party under Section 16(a) of the Exchange Act or any other public filing, report, or announcement legally required during the lock-up period shall include a statement in such report indicating the circumstances in connection with such transfer. </w:t>
      </w:r>
    </w:p>
    <w:p>
      <w:pPr>
        <w:pStyle w:val="TextBody"/>
        <w:bidi w:val="0"/>
        <w:spacing w:before="180" w:after="0"/>
        <w:jc w:val="left"/>
        <w:rPr>
          <w:rFonts w:ascii="Arial" w:hAnsi="Arial"/>
          <w:sz w:val="19"/>
        </w:rPr>
      </w:pPr>
      <w:r>
        <w:rPr>
          <w:rFonts w:ascii="Arial" w:hAnsi="Arial"/>
          <w:sz w:val="19"/>
        </w:rPr>
        <w:t xml:space="preserve">In addition, the foregoing restrictions shall not apply to the establishment or amendment of any contract, instruction, or plan (Plan) that satisfies all of the requirements of Rule 10b5-1(c)(1)(i)(B) under the Exchange Act; </w:t>
      </w:r>
      <w:r>
        <w:rPr>
          <w:rFonts w:ascii="Arial" w:hAnsi="Arial"/>
          <w:i/>
          <w:sz w:val="19"/>
        </w:rPr>
        <w:t>provided that</w:t>
      </w:r>
      <w:r>
        <w:rPr>
          <w:rFonts w:ascii="Arial" w:hAnsi="Arial"/>
          <w:sz w:val="19"/>
        </w:rPr>
        <w:t xml:space="preserve"> no sales of a securityholder’s shares of common stock shall be made pursuant to such Plan prior to the expiration of the lock-up period, and such Plan may only be established or amended if any required public disclosure, announcement or filing under the Exchange Act made by us or any person regarding the establishment or amendment of such Plan during the lock-up period shall include a statement that the securityholder is not permitted to transfer, sell, or otherwise dispose of securities under such Plan during the lock-up period in contravention of the lock-up agreement, and no announcement or filing is made voluntarily, by the securityholder, us, or any other person, regarding the establishment or amendment of such Plan, prior to the expiration of the lock-up period. </w:t>
      </w:r>
    </w:p>
    <w:p>
      <w:pPr>
        <w:pStyle w:val="TextBody"/>
        <w:bidi w:val="0"/>
        <w:spacing w:before="180" w:after="0"/>
        <w:jc w:val="left"/>
        <w:rPr>
          <w:rFonts w:ascii="Arial" w:hAnsi="Arial"/>
          <w:sz w:val="19"/>
        </w:rPr>
      </w:pPr>
      <w:r>
        <w:rPr>
          <w:rFonts w:ascii="Arial" w:hAnsi="Arial"/>
          <w:sz w:val="19"/>
        </w:rPr>
        <w:t xml:space="preserve">Jefferies LLC and TD Securities (USA) LLC may, in their sole discretion and at any time or from time to time before the termination of the 180-day period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w:t>
      </w:r>
    </w:p>
    <w:p>
      <w:pPr>
        <w:pStyle w:val="TextBody"/>
        <w:bidi w:val="0"/>
        <w:spacing w:before="240" w:after="0"/>
        <w:jc w:val="left"/>
        <w:rPr>
          <w:rFonts w:ascii="Arial" w:hAnsi="Arial"/>
          <w:b/>
          <w:sz w:val="20"/>
        </w:rPr>
      </w:pPr>
      <w:r>
        <w:rPr>
          <w:rFonts w:ascii="Arial" w:hAnsi="Arial"/>
          <w:b/>
          <w:sz w:val="20"/>
        </w:rPr>
        <w:t xml:space="preserve">Stabilization </w:t>
      </w:r>
    </w:p>
    <w:p>
      <w:pPr>
        <w:pStyle w:val="TextBody"/>
        <w:bidi w:val="0"/>
        <w:spacing w:before="80" w:after="0"/>
        <w:jc w:val="left"/>
        <w:rPr>
          <w:rFonts w:ascii="Arial" w:hAnsi="Arial"/>
          <w:sz w:val="19"/>
        </w:rPr>
      </w:pPr>
      <w:r>
        <w:rPr>
          <w:rFonts w:ascii="Arial" w:hAnsi="Arial"/>
          <w:sz w:val="19"/>
        </w:rPr>
        <w:t xml:space="preserve">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before="180" w:after="0"/>
        <w:jc w:val="left"/>
        <w:rPr/>
      </w:pPr>
      <w:r>
        <w:rPr/>
        <w:t>“</w:t>
      </w:r>
      <w:r>
        <w:rPr>
          <w:rFonts w:ascii="Arial" w:hAnsi="Arial"/>
          <w:sz w:val="19"/>
        </w:rPr>
        <w:t xml:space="preserve">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w:t>
      </w:r>
    </w:p>
    <w:p>
      <w:pPr>
        <w:pStyle w:val="TextBody"/>
        <w:bidi w:val="0"/>
        <w:spacing w:before="180" w:after="0"/>
        <w:jc w:val="left"/>
        <w:rPr/>
      </w:pPr>
      <w:r>
        <w:rPr/>
        <w:t>“</w:t>
      </w:r>
      <w:r>
        <w:rPr>
          <w:rFonts w:ascii="Arial" w:hAnsi="Arial"/>
          <w:sz w:val="19"/>
        </w:rPr>
        <w:t xml:space="preserve">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 </w:t>
      </w:r>
    </w:p>
    <w:p>
      <w:pPr>
        <w:pStyle w:val="TextBody"/>
        <w:bidi w:val="0"/>
        <w:spacing w:before="180" w:after="0"/>
        <w:jc w:val="left"/>
        <w:rPr>
          <w:rFonts w:ascii="Arial" w:hAnsi="Arial"/>
          <w:sz w:val="19"/>
        </w:rPr>
      </w:pPr>
      <w:r>
        <w:rPr>
          <w:rFonts w:ascii="Arial" w:hAnsi="Arial"/>
          <w:sz w:val="19"/>
        </w:rPr>
        <w:t xml:space="preserve">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 </w:t>
      </w:r>
    </w:p>
    <w:p>
      <w:pPr>
        <w:pStyle w:val="TextBody"/>
        <w:bidi w:val="0"/>
        <w:spacing w:before="180" w:after="0"/>
        <w:jc w:val="left"/>
        <w:rPr>
          <w:rFonts w:ascii="Arial" w:hAnsi="Arial"/>
          <w:sz w:val="19"/>
        </w:rPr>
      </w:pPr>
      <w:r>
        <w:rPr>
          <w:rFonts w:ascii="Arial" w:hAnsi="Arial"/>
          <w:sz w:val="19"/>
        </w:rPr>
        <w:t xml:space="preserve">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240" w:after="0"/>
        <w:jc w:val="left"/>
        <w:rPr>
          <w:rFonts w:ascii="Arial" w:hAnsi="Arial"/>
          <w:b/>
          <w:sz w:val="20"/>
        </w:rPr>
      </w:pPr>
      <w:r>
        <w:rPr>
          <w:rFonts w:ascii="Arial" w:hAnsi="Arial"/>
          <w:b/>
          <w:sz w:val="20"/>
        </w:rPr>
        <w:t xml:space="preserve">Electronic Distribution </w:t>
      </w:r>
    </w:p>
    <w:p>
      <w:pPr>
        <w:pStyle w:val="TextBody"/>
        <w:bidi w:val="0"/>
        <w:spacing w:before="80" w:after="0"/>
        <w:jc w:val="left"/>
        <w:rPr>
          <w:rFonts w:ascii="Arial" w:hAnsi="Arial"/>
          <w:sz w:val="19"/>
        </w:rPr>
      </w:pPr>
      <w:r>
        <w:rPr>
          <w:rFonts w:ascii="Arial" w:hAnsi="Arial"/>
          <w:sz w:val="19"/>
        </w:rPr>
        <w:t xml:space="preserve">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 </w:t>
      </w:r>
    </w:p>
    <w:p>
      <w:pPr>
        <w:pStyle w:val="TextBody"/>
        <w:bidi w:val="0"/>
        <w:spacing w:before="240" w:after="0"/>
        <w:jc w:val="left"/>
        <w:rPr>
          <w:rFonts w:ascii="Arial" w:hAnsi="Arial"/>
          <w:b/>
          <w:sz w:val="20"/>
        </w:rPr>
      </w:pPr>
      <w:r>
        <w:rPr>
          <w:rFonts w:ascii="Arial" w:hAnsi="Arial"/>
          <w:b/>
          <w:sz w:val="20"/>
        </w:rPr>
        <w:t xml:space="preserve">Other Activities and Relationships </w:t>
      </w:r>
    </w:p>
    <w:p>
      <w:pPr>
        <w:pStyle w:val="TextBody"/>
        <w:bidi w:val="0"/>
        <w:spacing w:before="80" w:after="0"/>
        <w:jc w:val="left"/>
        <w:rPr>
          <w:rFonts w:ascii="Arial" w:hAnsi="Arial"/>
          <w:sz w:val="19"/>
        </w:rPr>
      </w:pPr>
      <w:r>
        <w:rPr>
          <w:rFonts w:ascii="Arial" w:hAnsi="Arial"/>
          <w:sz w:val="19"/>
        </w:rPr>
        <w:t xml:space="preserve">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w:t>
      </w:r>
    </w:p>
    <w:p>
      <w:pPr>
        <w:pStyle w:val="TextBody"/>
        <w:bidi w:val="0"/>
        <w:spacing w:before="180" w:after="0"/>
        <w:jc w:val="left"/>
        <w:rPr>
          <w:rFonts w:ascii="Arial" w:hAnsi="Arial"/>
          <w:sz w:val="19"/>
        </w:rPr>
      </w:pPr>
      <w:r>
        <w:rPr>
          <w:rFonts w:ascii="Arial" w:hAnsi="Arial"/>
          <w:sz w:val="19"/>
        </w:rPr>
        <w:t xml:space="preserve">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240" w:after="0"/>
        <w:jc w:val="left"/>
        <w:rPr>
          <w:rFonts w:ascii="Arial" w:hAnsi="Arial"/>
          <w:b/>
          <w:sz w:val="20"/>
        </w:rPr>
      </w:pPr>
      <w:r>
        <w:rPr>
          <w:rFonts w:ascii="Arial" w:hAnsi="Arial"/>
          <w:b/>
          <w:sz w:val="20"/>
        </w:rPr>
        <w:t xml:space="preserve">Disclaimers About Non-U.S. Jurisdictions </w:t>
      </w:r>
    </w:p>
    <w:p>
      <w:pPr>
        <w:pStyle w:val="TextBody"/>
        <w:bidi w:val="0"/>
        <w:spacing w:before="80" w:after="0"/>
        <w:jc w:val="left"/>
        <w:rPr>
          <w:rFonts w:ascii="Arial" w:hAnsi="Arial"/>
          <w:b/>
          <w:i/>
          <w:sz w:val="19"/>
        </w:rPr>
      </w:pPr>
      <w:r>
        <w:rPr>
          <w:rFonts w:ascii="Arial" w:hAnsi="Arial"/>
          <w:b/>
          <w:i/>
          <w:sz w:val="19"/>
        </w:rPr>
        <w:t xml:space="preserve">Canada </w:t>
      </w:r>
    </w:p>
    <w:p>
      <w:pPr>
        <w:pStyle w:val="TextBody"/>
        <w:bidi w:val="0"/>
        <w:spacing w:before="80" w:after="0"/>
        <w:jc w:val="left"/>
        <w:rPr>
          <w:rFonts w:ascii="Arial" w:hAnsi="Arial"/>
          <w:i/>
          <w:sz w:val="19"/>
        </w:rPr>
      </w:pPr>
      <w:r>
        <w:rPr>
          <w:rFonts w:ascii="Arial" w:hAnsi="Arial"/>
          <w:i/>
          <w:sz w:val="19"/>
        </w:rPr>
        <w:t xml:space="preserve">(A) Resale Restrictions </w:t>
      </w:r>
    </w:p>
    <w:p>
      <w:pPr>
        <w:pStyle w:val="TextBody"/>
        <w:bidi w:val="0"/>
        <w:spacing w:before="40" w:after="0"/>
        <w:jc w:val="left"/>
        <w:rPr>
          <w:rFonts w:ascii="Arial" w:hAnsi="Arial"/>
          <w:sz w:val="19"/>
        </w:rPr>
      </w:pPr>
      <w:r>
        <w:rPr>
          <w:rFonts w:ascii="Arial" w:hAnsi="Arial"/>
          <w:sz w:val="19"/>
        </w:rPr>
        <w:t xml:space="preserve">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(B) Representations of Canadian Purchasers </w:t>
      </w:r>
    </w:p>
    <w:p>
      <w:pPr>
        <w:pStyle w:val="TextBody"/>
        <w:bidi w:val="0"/>
        <w:spacing w:before="40" w:after="0"/>
        <w:jc w:val="left"/>
        <w:rPr>
          <w:rFonts w:ascii="Arial" w:hAnsi="Arial"/>
          <w:sz w:val="19"/>
        </w:rPr>
      </w:pPr>
      <w:r>
        <w:rPr>
          <w:rFonts w:ascii="Arial" w:hAnsi="Arial"/>
          <w:sz w:val="19"/>
        </w:rPr>
        <w:t xml:space="preserve">By purchasing shares of common stock in Canada and accepting delivery of a purchase confirmation, a purchaser is representing to us and the dealer from whom the purchase confirmation is received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purchaser is entitled under applicable provincial securities laws to purchase the shares of common stock without the benefit of a prospectus qualified under those securities laws as it is an “accredited investor” as defined under National Instrument 45-106 - Prospectus Exemptions or Section 73.3(1) of the Securities Act (Ontario),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purchaser is a “permitted client” as defined in National Instrument 31-103 - Registration Requirements, Exemptions and Ongoing Registrant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where required by law, the purchaser is purchasing as principal and not as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the purchaser has reviewed the text above under Resale Restrictions. </w:t>
            </w:r>
          </w:p>
        </w:tc>
      </w:tr>
    </w:tbl>
    <w:p>
      <w:pPr>
        <w:pStyle w:val="TextBody"/>
        <w:bidi w:val="0"/>
        <w:spacing w:before="80" w:after="0"/>
        <w:jc w:val="left"/>
        <w:rPr>
          <w:rFonts w:ascii="Arial" w:hAnsi="Arial"/>
          <w:i/>
          <w:sz w:val="19"/>
        </w:rPr>
      </w:pPr>
      <w:r>
        <w:rPr>
          <w:rFonts w:ascii="Arial" w:hAnsi="Arial"/>
          <w:i/>
          <w:sz w:val="19"/>
        </w:rPr>
        <w:t xml:space="preserve">(C) Conflicts of Interest </w:t>
      </w:r>
    </w:p>
    <w:p>
      <w:pPr>
        <w:pStyle w:val="TextBody"/>
        <w:bidi w:val="0"/>
        <w:spacing w:before="40" w:after="0"/>
        <w:jc w:val="left"/>
        <w:rPr>
          <w:rFonts w:ascii="Arial" w:hAnsi="Arial"/>
          <w:sz w:val="19"/>
        </w:rPr>
      </w:pPr>
      <w:r>
        <w:rPr>
          <w:rFonts w:ascii="Arial" w:hAnsi="Arial"/>
          <w:sz w:val="19"/>
        </w:rPr>
        <w:t xml:space="preserve">Canadian purchasers are hereby notified that certain of the underwriters are relying on the exemption set out in section 3A.3 or 3A.4, if applicable, of National Instrument 33-105—Underwriting Conflicts from having to provide certain conflict of interest disclosure in this prospectus. </w:t>
      </w:r>
    </w:p>
    <w:p>
      <w:pPr>
        <w:pStyle w:val="TextBody"/>
        <w:bidi w:val="0"/>
        <w:spacing w:before="80" w:after="0"/>
        <w:jc w:val="left"/>
        <w:rPr>
          <w:rFonts w:ascii="Arial" w:hAnsi="Arial"/>
          <w:i/>
          <w:sz w:val="19"/>
        </w:rPr>
      </w:pPr>
      <w:r>
        <w:rPr>
          <w:rFonts w:ascii="Arial" w:hAnsi="Arial"/>
          <w:i/>
          <w:sz w:val="19"/>
        </w:rPr>
        <w:t xml:space="preserve">(D) Statutory Rights of Action </w:t>
      </w:r>
    </w:p>
    <w:p>
      <w:pPr>
        <w:pStyle w:val="TextBody"/>
        <w:bidi w:val="0"/>
        <w:spacing w:before="40" w:after="0"/>
        <w:jc w:val="left"/>
        <w:rPr>
          <w:rFonts w:ascii="Arial" w:hAnsi="Arial"/>
          <w:sz w:val="19"/>
        </w:rPr>
      </w:pPr>
      <w:r>
        <w:rPr>
          <w:rFonts w:ascii="Arial" w:hAnsi="Arial"/>
          <w:sz w:val="19"/>
        </w:rPr>
        <w:t xml:space="preserve">Securities legislation in certain provinces or territories of Canada may provide a purchaser with remedies for rescission or damages if the prospectus (including any amendment thereto) such as this prospectus contains a misrepresentation, </w:t>
      </w:r>
      <w:r>
        <w:rPr>
          <w:rFonts w:ascii="Arial" w:hAnsi="Arial"/>
          <w:i/>
          <w:sz w:val="19"/>
        </w:rPr>
        <w:t>provided that</w:t>
      </w:r>
      <w:r>
        <w:rPr>
          <w:rFonts w:ascii="Arial" w:hAnsi="Arial"/>
          <w:sz w:val="19"/>
        </w:rPr>
        <w:t xml:space="preserve">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before="80" w:after="0"/>
        <w:jc w:val="left"/>
        <w:rPr>
          <w:rFonts w:ascii="Arial" w:hAnsi="Arial"/>
          <w:i/>
          <w:sz w:val="19"/>
        </w:rPr>
      </w:pPr>
      <w:r>
        <w:rPr>
          <w:rFonts w:ascii="Arial" w:hAnsi="Arial"/>
          <w:i/>
          <w:sz w:val="19"/>
        </w:rPr>
        <w:t xml:space="preserve">(E) Enforcement of Legal Rights </w:t>
      </w:r>
    </w:p>
    <w:p>
      <w:pPr>
        <w:pStyle w:val="TextBody"/>
        <w:bidi w:val="0"/>
        <w:spacing w:before="40" w:after="0"/>
        <w:jc w:val="left"/>
        <w:rPr>
          <w:rFonts w:ascii="Arial" w:hAnsi="Arial"/>
          <w:sz w:val="19"/>
        </w:rPr>
      </w:pPr>
      <w:r>
        <w:rPr>
          <w:rFonts w:ascii="Arial" w:hAnsi="Arial"/>
          <w:sz w:val="19"/>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before="80" w:after="0"/>
        <w:jc w:val="left"/>
        <w:rPr>
          <w:rFonts w:ascii="Arial" w:hAnsi="Arial"/>
          <w:i/>
          <w:sz w:val="19"/>
        </w:rPr>
      </w:pPr>
      <w:r>
        <w:rPr>
          <w:rFonts w:ascii="Arial" w:hAnsi="Arial"/>
          <w:i/>
          <w:sz w:val="19"/>
        </w:rPr>
        <w:t xml:space="preserve">(F) Taxation and Eligibility for Investment </w:t>
      </w:r>
    </w:p>
    <w:p>
      <w:pPr>
        <w:pStyle w:val="TextBody"/>
        <w:bidi w:val="0"/>
        <w:spacing w:before="40" w:after="0"/>
        <w:jc w:val="left"/>
        <w:rPr>
          <w:rFonts w:ascii="Arial" w:hAnsi="Arial"/>
          <w:sz w:val="19"/>
        </w:rPr>
      </w:pPr>
      <w:r>
        <w:rPr>
          <w:rFonts w:ascii="Arial" w:hAnsi="Arial"/>
          <w:sz w:val="19"/>
        </w:rPr>
        <w:t xml:space="preserve">Canadian purchasers of shares of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 </w:t>
      </w:r>
    </w:p>
    <w:p>
      <w:pPr>
        <w:pStyle w:val="TextBody"/>
        <w:bidi w:val="0"/>
        <w:spacing w:before="80" w:after="0"/>
        <w:jc w:val="left"/>
        <w:rPr>
          <w:rFonts w:ascii="Arial" w:hAnsi="Arial"/>
          <w:i/>
          <w:sz w:val="19"/>
        </w:rPr>
      </w:pPr>
      <w:r>
        <w:rPr>
          <w:rFonts w:ascii="Arial" w:hAnsi="Arial"/>
          <w:i/>
          <w:sz w:val="19"/>
        </w:rPr>
        <w:t xml:space="preserve">(G) Language of Documents </w:t>
      </w:r>
    </w:p>
    <w:p>
      <w:pPr>
        <w:pStyle w:val="TextBody"/>
        <w:bidi w:val="0"/>
        <w:spacing w:before="40" w:after="0"/>
        <w:jc w:val="left"/>
        <w:rPr>
          <w:rFonts w:ascii="Arial" w:hAnsi="Arial"/>
          <w:sz w:val="19"/>
        </w:rPr>
      </w:pPr>
      <w:r>
        <w:rPr>
          <w:rFonts w:ascii="Arial" w:hAnsi="Arial"/>
          <w:sz w:val="19"/>
        </w:rPr>
        <w:t xml:space="preserve">The purchaser confirms its express wish and that it has requested that this document, all documents evidencing or relating to the sale of the securities described herein and all other related documents be drawn up exclusively in the English language. </w:t>
      </w:r>
      <w:r>
        <w:rPr>
          <w:rFonts w:ascii="Arial" w:hAnsi="Arial"/>
          <w:i/>
          <w:sz w:val="19"/>
        </w:rPr>
        <w:t>L’acquéreur confirme sa volonté expresse et qu’il a demandé que le présent document, tous les documents attestant de la vente des titres décrits dans le présent document ou s’y rapportant ainsi que tous les autres documents s’y rattachant soient rédigés exclusivement en langue anglaise.</w:t>
      </w:r>
      <w:r>
        <w:rPr>
          <w:rFonts w:ascii="Arial" w:hAnsi="Arial"/>
          <w:sz w:val="19"/>
        </w:rPr>
        <w:t xml:space="preserve"> </w:t>
      </w:r>
    </w:p>
    <w:p>
      <w:pPr>
        <w:pStyle w:val="TextBody"/>
        <w:bidi w:val="0"/>
        <w:spacing w:before="80" w:after="0"/>
        <w:jc w:val="left"/>
        <w:rPr>
          <w:rFonts w:ascii="Arial" w:hAnsi="Arial"/>
          <w:b/>
          <w:i/>
          <w:sz w:val="19"/>
        </w:rPr>
      </w:pPr>
      <w:r>
        <w:rPr>
          <w:rFonts w:ascii="Arial" w:hAnsi="Arial"/>
          <w:b/>
          <w:i/>
          <w:sz w:val="19"/>
        </w:rPr>
        <w:t xml:space="preserve">Australia </w:t>
      </w:r>
    </w:p>
    <w:p>
      <w:pPr>
        <w:pStyle w:val="TextBody"/>
        <w:bidi w:val="0"/>
        <w:spacing w:before="40" w:after="0"/>
        <w:jc w:val="left"/>
        <w:rPr>
          <w:rFonts w:ascii="Arial" w:hAnsi="Arial"/>
          <w:sz w:val="19"/>
        </w:rPr>
      </w:pPr>
      <w:r>
        <w:rPr>
          <w:rFonts w:ascii="Arial" w:hAnsi="Arial"/>
          <w:sz w:val="19"/>
        </w:rPr>
        <w:t xml:space="preserve">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in Australia: </w:t>
      </w:r>
    </w:p>
    <w:p>
      <w:pPr>
        <w:pStyle w:val="TextBody"/>
        <w:bidi w:val="0"/>
        <w:spacing w:before="180" w:after="0"/>
        <w:jc w:val="left"/>
        <w:rPr>
          <w:rFonts w:ascii="Arial" w:hAnsi="Arial"/>
          <w:sz w:val="19"/>
        </w:rPr>
      </w:pPr>
      <w:r>
        <w:rPr>
          <w:rFonts w:ascii="Arial" w:hAnsi="Arial"/>
          <w:sz w:val="19"/>
        </w:rPr>
        <w:t xml:space="preserve">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 “professional investor” within the meaning of section 708(11)(a) or (b) of the Corporations Act. </w:t>
            </w:r>
          </w:p>
        </w:tc>
      </w:tr>
    </w:tbl>
    <w:p>
      <w:pPr>
        <w:pStyle w:val="TextBody"/>
        <w:bidi w:val="0"/>
        <w:spacing w:before="180" w:after="0"/>
        <w:jc w:val="left"/>
        <w:rPr>
          <w:rFonts w:ascii="Arial" w:hAnsi="Arial"/>
          <w:sz w:val="19"/>
        </w:rPr>
      </w:pPr>
      <w:r>
        <w:rPr>
          <w:rFonts w:ascii="Arial" w:hAnsi="Arial"/>
          <w:sz w:val="19"/>
        </w:rPr>
        <w:t xml:space="preserve">To the extent that you are unable to confirm or warrant that you are an exempt sophisticated investor, associated person or professional investor under the Corporations Act any offer made to you under this prospectus is void and incapable of acceptance. </w:t>
      </w:r>
    </w:p>
    <w:p>
      <w:pPr>
        <w:pStyle w:val="TextBody"/>
        <w:bidi w:val="0"/>
        <w:spacing w:before="180" w:after="0"/>
        <w:jc w:val="left"/>
        <w:rPr>
          <w:rFonts w:ascii="Arial" w:hAnsi="Arial"/>
          <w:sz w:val="19"/>
        </w:rPr>
      </w:pPr>
      <w:r>
        <w:rPr>
          <w:rFonts w:ascii="Arial" w:hAnsi="Arial"/>
          <w:sz w:val="19"/>
        </w:rPr>
        <w:t xml:space="preserve">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 </w:t>
      </w:r>
    </w:p>
    <w:p>
      <w:pPr>
        <w:pStyle w:val="TextBody"/>
        <w:bidi w:val="0"/>
        <w:spacing w:before="80" w:after="0"/>
        <w:jc w:val="left"/>
        <w:rPr>
          <w:rFonts w:ascii="Arial" w:hAnsi="Arial"/>
          <w:b/>
          <w:i/>
          <w:sz w:val="19"/>
        </w:rPr>
      </w:pPr>
      <w:r>
        <w:rPr>
          <w:rFonts w:ascii="Arial" w:hAnsi="Arial"/>
          <w:b/>
          <w:i/>
          <w:sz w:val="19"/>
        </w:rPr>
        <w:t xml:space="preserve">European Economic Area </w:t>
      </w:r>
    </w:p>
    <w:p>
      <w:pPr>
        <w:pStyle w:val="TextBody"/>
        <w:bidi w:val="0"/>
        <w:spacing w:before="40" w:after="0"/>
        <w:jc w:val="left"/>
        <w:rPr>
          <w:rFonts w:ascii="Arial" w:hAnsi="Arial"/>
          <w:sz w:val="19"/>
        </w:rPr>
      </w:pPr>
      <w:r>
        <w:rPr>
          <w:rFonts w:ascii="Arial" w:hAnsi="Arial"/>
          <w:sz w:val="19"/>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common stock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19"/>
              </w:rPr>
            </w:pPr>
            <w:r>
              <w:rPr>
                <w:rFonts w:ascii="Arial" w:hAnsi="Arial"/>
                <w:sz w:val="19"/>
              </w:rPr>
              <w:t xml:space="preserve">to fewer than 150 natural or legal persons (other than qualified investors as defined under Article 2 of the Prospectus Regulation), subject to obtaining the prior consent of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any other circumstances falling within Article 1(4) of the Prospectus Regulation, </w:t>
            </w:r>
          </w:p>
        </w:tc>
      </w:tr>
    </w:tbl>
    <w:p>
      <w:pPr>
        <w:pStyle w:val="TextBody"/>
        <w:bidi w:val="0"/>
        <w:spacing w:before="180" w:after="0"/>
        <w:jc w:val="left"/>
        <w:rPr>
          <w:rFonts w:ascii="Arial" w:hAnsi="Arial"/>
          <w:sz w:val="19"/>
        </w:rPr>
      </w:pPr>
      <w:r>
        <w:rPr>
          <w:rFonts w:ascii="Arial" w:hAnsi="Arial"/>
          <w:i/>
          <w:sz w:val="19"/>
        </w:rPr>
        <w:t>provided</w:t>
      </w:r>
      <w:r>
        <w:rPr>
          <w:rFonts w:ascii="Arial" w:hAnsi="Arial"/>
          <w:sz w:val="19"/>
        </w:rPr>
        <w:t xml:space="preserve"> that no such offer of the shares of common stock shall require us or any of the representatives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180" w:after="0"/>
        <w:jc w:val="left"/>
        <w:rPr>
          <w:rFonts w:ascii="Arial" w:hAnsi="Arial"/>
          <w:sz w:val="19"/>
        </w:rPr>
      </w:pPr>
      <w:r>
        <w:rPr>
          <w:rFonts w:ascii="Arial" w:hAnsi="Arial"/>
          <w:sz w:val="19"/>
        </w:rPr>
        <w:t xml:space="preserve">For the purposes of this provision, the expression “offer to the public” in relation to the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80" w:after="0"/>
        <w:jc w:val="left"/>
        <w:rPr>
          <w:rFonts w:ascii="Arial" w:hAnsi="Arial"/>
          <w:b/>
          <w:i/>
          <w:sz w:val="19"/>
        </w:rPr>
      </w:pPr>
      <w:r>
        <w:rPr>
          <w:rFonts w:ascii="Arial" w:hAnsi="Arial"/>
          <w:b/>
          <w:i/>
          <w:sz w:val="19"/>
        </w:rPr>
        <w:t xml:space="preserve">Hong Kong </w:t>
      </w:r>
    </w:p>
    <w:p>
      <w:pPr>
        <w:pStyle w:val="TextBody"/>
        <w:bidi w:val="0"/>
        <w:spacing w:before="40" w:after="0"/>
        <w:jc w:val="left"/>
        <w:rPr>
          <w:rFonts w:ascii="Arial" w:hAnsi="Arial"/>
          <w:sz w:val="19"/>
        </w:rPr>
      </w:pPr>
      <w:r>
        <w:rPr>
          <w:rFonts w:ascii="Arial" w:hAnsi="Arial"/>
          <w:sz w:val="19"/>
        </w:rPr>
        <w:t xml:space="preserve">No shares of common stock have been offered or sold, and no shares of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shares of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common stock which are or are intended to be disposed of only to persons outside Hong Kong or only to “professional investors” as defined in the SFO and any rules made under that Ordinance. </w:t>
      </w:r>
    </w:p>
    <w:p>
      <w:pPr>
        <w:pStyle w:val="TextBody"/>
        <w:bidi w:val="0"/>
        <w:spacing w:before="180" w:after="0"/>
        <w:jc w:val="left"/>
        <w:rPr>
          <w:rFonts w:ascii="Arial" w:hAnsi="Arial"/>
          <w:sz w:val="19"/>
        </w:rPr>
      </w:pPr>
      <w:r>
        <w:rPr>
          <w:rFonts w:ascii="Arial" w:hAnsi="Arial"/>
          <w:sz w:val="19"/>
        </w:rPr>
        <w:t xml:space="preserve">This prospectus has not been registered with the Registrar of Companies in Hong Kong. Accordingly, this prospectus may not be issued, circulated, or distributed in Hong Kong, and the shares of common stock may not be offered for subscription to members of the public in Hong Kong. Each person acquiring the shares of common stock will be required, and is deemed by the acquisition of the shares of common stock, to confirm that he is aware of the restriction on offers of the shares of common stock described in this prospectus and the relevant offering documents and that he is not acquiring, and has not been offered any shares of common stock in circumstances that contravene any such restrictions.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Israel </w:t>
      </w:r>
    </w:p>
    <w:p>
      <w:pPr>
        <w:pStyle w:val="TextBody"/>
        <w:bidi w:val="0"/>
        <w:spacing w:before="40" w:after="0"/>
        <w:jc w:val="left"/>
        <w:rPr>
          <w:rFonts w:ascii="Arial" w:hAnsi="Arial"/>
          <w:sz w:val="19"/>
        </w:rPr>
      </w:pPr>
      <w:r>
        <w:rPr>
          <w:rFonts w:ascii="Arial" w:hAnsi="Arial"/>
          <w:sz w:val="19"/>
        </w:rPr>
        <w:t xml:space="preserve">This prospectus does not constitute a prospectus under the Israeli Securities Law, 5728-1968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80" w:after="0"/>
        <w:jc w:val="left"/>
        <w:rPr>
          <w:rFonts w:ascii="Arial" w:hAnsi="Arial"/>
          <w:b/>
          <w:i/>
          <w:sz w:val="19"/>
        </w:rPr>
      </w:pPr>
      <w:r>
        <w:rPr>
          <w:rFonts w:ascii="Arial" w:hAnsi="Arial"/>
          <w:b/>
          <w:i/>
          <w:sz w:val="19"/>
        </w:rPr>
        <w:t xml:space="preserve">Japan </w:t>
      </w:r>
    </w:p>
    <w:p>
      <w:pPr>
        <w:pStyle w:val="TextBody"/>
        <w:bidi w:val="0"/>
        <w:spacing w:before="40" w:after="0"/>
        <w:jc w:val="left"/>
        <w:rPr>
          <w:rFonts w:ascii="Arial" w:hAnsi="Arial"/>
          <w:sz w:val="19"/>
        </w:rPr>
      </w:pPr>
      <w:r>
        <w:rPr>
          <w:rFonts w:ascii="Arial" w:hAnsi="Arial"/>
          <w:sz w:val="19"/>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before="80" w:after="0"/>
        <w:jc w:val="left"/>
        <w:rPr>
          <w:rFonts w:ascii="Arial" w:hAnsi="Arial"/>
          <w:b/>
          <w:i/>
          <w:sz w:val="19"/>
        </w:rPr>
      </w:pPr>
      <w:r>
        <w:rPr>
          <w:rFonts w:ascii="Arial" w:hAnsi="Arial"/>
          <w:b/>
          <w:i/>
          <w:sz w:val="19"/>
        </w:rPr>
        <w:t xml:space="preserve">Singapore </w:t>
      </w:r>
    </w:p>
    <w:p>
      <w:pPr>
        <w:pStyle w:val="TextBody"/>
        <w:bidi w:val="0"/>
        <w:spacing w:before="40" w:after="0"/>
        <w:jc w:val="left"/>
        <w:rPr>
          <w:rFonts w:ascii="Arial" w:hAnsi="Arial"/>
          <w:sz w:val="19"/>
        </w:rPr>
      </w:pPr>
      <w:r>
        <w:rPr>
          <w:rFonts w:ascii="Arial" w:hAnsi="Arial"/>
          <w:sz w:val="19"/>
        </w:rPr>
        <w:t xml:space="preserve">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180" w:after="0"/>
        <w:jc w:val="left"/>
        <w:rPr>
          <w:rFonts w:ascii="Arial" w:hAnsi="Arial"/>
          <w:sz w:val="19"/>
        </w:rPr>
      </w:pPr>
      <w:r>
        <w:rPr>
          <w:rFonts w:ascii="Arial" w:hAnsi="Arial"/>
          <w:sz w:val="19"/>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19"/>
              </w:rPr>
            </w:pPr>
            <w:r>
              <w:rPr>
                <w:rFonts w:ascii="Arial" w:hAnsi="Arial"/>
                <w:sz w:val="19"/>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Arial" w:hAnsi="Arial"/>
                <w:sz w:val="19"/>
              </w:rPr>
            </w:pPr>
            <w:r>
              <w:rPr>
                <w:rFonts w:ascii="Arial" w:hAnsi="Arial"/>
                <w:sz w:val="19"/>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180" w:after="0"/>
        <w:jc w:val="left"/>
        <w:rPr>
          <w:rFonts w:ascii="Arial" w:hAnsi="Arial"/>
          <w:sz w:val="19"/>
        </w:rPr>
      </w:pPr>
      <w:r>
        <w:rPr>
          <w:rFonts w:ascii="Arial" w:hAnsi="Arial"/>
          <w:sz w:val="19"/>
        </w:rPr>
        <w:t xml:space="preserve">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Arial" w:hAnsi="Arial"/>
                <w:sz w:val="19"/>
              </w:rPr>
            </w:pPr>
            <w:r>
              <w:rPr>
                <w:rFonts w:ascii="Arial" w:hAnsi="Arial"/>
                <w:sz w:val="19"/>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Arial" w:hAnsi="Arial"/>
                <w:sz w:val="19"/>
              </w:rPr>
            </w:pPr>
            <w:r>
              <w:rPr>
                <w:rFonts w:ascii="Arial" w:hAnsi="Arial"/>
                <w:sz w:val="19"/>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Arial" w:hAnsi="Arial"/>
                <w:sz w:val="19"/>
              </w:rPr>
            </w:pPr>
            <w:r>
              <w:rPr>
                <w:rFonts w:ascii="Arial" w:hAnsi="Arial"/>
                <w:sz w:val="19"/>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w:t>
            </w:r>
          </w:p>
        </w:tc>
        <w:tc>
          <w:tcPr>
            <w:tcW w:w="9797" w:type="dxa"/>
            <w:tcBorders/>
          </w:tcPr>
          <w:p>
            <w:pPr>
              <w:pStyle w:val="TableContents"/>
              <w:bidi w:val="0"/>
              <w:spacing w:before="0" w:after="0"/>
              <w:jc w:val="left"/>
              <w:rPr>
                <w:rFonts w:ascii="Arial" w:hAnsi="Arial"/>
                <w:sz w:val="19"/>
              </w:rPr>
            </w:pPr>
            <w:r>
              <w:rPr>
                <w:rFonts w:ascii="Arial" w:hAnsi="Arial"/>
                <w:sz w:val="19"/>
              </w:rPr>
              <w:t xml:space="preserve">as specified in Regulation 32 of the Securities and Futures (Offers of Investments) (Shares and Debentures) Regulations 2005 of Singapore.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Switzerland </w:t>
      </w:r>
    </w:p>
    <w:p>
      <w:pPr>
        <w:pStyle w:val="TextBody"/>
        <w:bidi w:val="0"/>
        <w:spacing w:before="40" w:after="0"/>
        <w:jc w:val="left"/>
        <w:rPr>
          <w:rFonts w:ascii="Arial" w:hAnsi="Arial"/>
          <w:sz w:val="19"/>
        </w:rPr>
      </w:pPr>
      <w:r>
        <w:rPr>
          <w:rFonts w:ascii="Arial" w:hAnsi="Arial"/>
          <w:sz w:val="19"/>
        </w:rPr>
        <w:t xml:space="preserve">The shares of common stock may not be publicly offered in Switzerland and will not be listed on the SIX Swiss Exchange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 </w:t>
      </w:r>
    </w:p>
    <w:p>
      <w:pPr>
        <w:pStyle w:val="TextBody"/>
        <w:bidi w:val="0"/>
        <w:spacing w:before="180" w:after="0"/>
        <w:jc w:val="left"/>
        <w:rPr>
          <w:rFonts w:ascii="Arial" w:hAnsi="Arial"/>
          <w:sz w:val="19"/>
        </w:rPr>
      </w:pPr>
      <w:r>
        <w:rPr>
          <w:rFonts w:ascii="Arial" w:hAnsi="Arial"/>
          <w:sz w:val="19"/>
        </w:rPr>
        <w:t xml:space="preserve">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(the FINMA), and the offer of securities has not been and will not be authorized under the Swiss Federal Act on Collective Investment Schemes (the CISA). The investor protection afforded to acquirers of interests in collective investment schemes under the CISA does not extend to acquirers of securities. </w:t>
      </w:r>
    </w:p>
    <w:p>
      <w:pPr>
        <w:pStyle w:val="TextBody"/>
        <w:bidi w:val="0"/>
        <w:spacing w:before="80" w:after="0"/>
        <w:jc w:val="left"/>
        <w:rPr>
          <w:rFonts w:ascii="Arial" w:hAnsi="Arial"/>
          <w:b/>
          <w:i/>
          <w:sz w:val="19"/>
        </w:rPr>
      </w:pPr>
      <w:r>
        <w:rPr>
          <w:rFonts w:ascii="Arial" w:hAnsi="Arial"/>
          <w:b/>
          <w:i/>
          <w:sz w:val="19"/>
        </w:rPr>
        <w:t xml:space="preserve">United Kingdom </w:t>
      </w:r>
    </w:p>
    <w:p>
      <w:pPr>
        <w:pStyle w:val="TextBody"/>
        <w:bidi w:val="0"/>
        <w:spacing w:before="40" w:after="0"/>
        <w:jc w:val="left"/>
        <w:rPr>
          <w:rFonts w:ascii="Arial" w:hAnsi="Arial"/>
          <w:sz w:val="19"/>
        </w:rPr>
      </w:pPr>
      <w:r>
        <w:rPr>
          <w:rFonts w:ascii="Arial" w:hAnsi="Arial"/>
          <w:sz w:val="19"/>
        </w:rPr>
        <w:t xml:space="preserve">No shares of common stock have been offered or will be offered pursuant to the offering to the public in the United Kingdom except that the shares of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Arial" w:hAnsi="Arial"/>
                <w:sz w:val="19"/>
              </w:rPr>
            </w:pPr>
            <w:r>
              <w:rPr>
                <w:rFonts w:ascii="Arial" w:hAnsi="Arial"/>
                <w:sz w:val="19"/>
              </w:rPr>
              <w:t xml:space="preserve">where the offer is conditional on the admission of the shares of common stock to trading on the London Stock Exchange plc’s main market (in reliance on the exception in paragraph 6(a)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Arial" w:hAnsi="Arial"/>
                <w:sz w:val="19"/>
              </w:rPr>
            </w:pPr>
            <w:r>
              <w:rPr>
                <w:rFonts w:ascii="Arial" w:hAnsi="Arial"/>
                <w:sz w:val="19"/>
              </w:rPr>
              <w:t xml:space="preserve">to any qualified investor as defined under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Arial" w:hAnsi="Arial"/>
                <w:sz w:val="19"/>
              </w:rPr>
            </w:pPr>
            <w:r>
              <w:rPr>
                <w:rFonts w:ascii="Arial" w:hAnsi="Arial"/>
                <w:sz w:val="19"/>
              </w:rPr>
              <w:t xml:space="preserve">to fewer than 150 persons (other than qualified investors as defined under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Arial" w:hAnsi="Arial"/>
                <w:sz w:val="19"/>
              </w:rPr>
            </w:pPr>
            <w:r>
              <w:rPr>
                <w:rFonts w:ascii="Arial" w:hAnsi="Arial"/>
                <w:sz w:val="19"/>
              </w:rPr>
              <w:t xml:space="preserve">in any other circumstances falling within Part 1 of Schedule 1 of the POATR. </w:t>
            </w:r>
          </w:p>
        </w:tc>
      </w:tr>
    </w:tbl>
    <w:p>
      <w:pPr>
        <w:pStyle w:val="TextBody"/>
        <w:bidi w:val="0"/>
        <w:spacing w:before="180" w:after="0"/>
        <w:jc w:val="left"/>
        <w:rPr>
          <w:rFonts w:ascii="Arial" w:hAnsi="Arial"/>
          <w:sz w:val="19"/>
        </w:rPr>
      </w:pPr>
      <w:r>
        <w:rPr>
          <w:rFonts w:ascii="Arial" w:hAnsi="Arial"/>
          <w:sz w:val="19"/>
        </w:rPr>
        <w:t xml:space="preserve">For the purposes of this provision, the expression an “offer to the public” in relation to the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 of common stock and the expression “POATR” means the Public Offers and Admissions to Trading Regulations 2024.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1" w:name="toc61940_19"/>
      <w:bookmarkEnd w:id="21"/>
      <w:r>
        <w:rPr>
          <w:rFonts w:ascii="Arial" w:hAnsi="Arial"/>
          <w:b/>
          <w:sz w:val="20"/>
        </w:rPr>
        <w:t xml:space="preserve">LEGAL MATTERS </w:t>
      </w:r>
    </w:p>
    <w:p>
      <w:pPr>
        <w:pStyle w:val="TextBody"/>
        <w:bidi w:val="0"/>
        <w:spacing w:before="360" w:after="0"/>
        <w:jc w:val="left"/>
        <w:rPr>
          <w:rFonts w:ascii="Arial" w:hAnsi="Arial"/>
          <w:sz w:val="19"/>
        </w:rPr>
      </w:pPr>
      <w:r>
        <w:rPr>
          <w:rFonts w:ascii="Arial" w:hAnsi="Arial"/>
          <w:sz w:val="19"/>
        </w:rPr>
        <w:t xml:space="preserve">The validity of the shares of our common stock being offered by this prospectus will be passed upon for us by Cooley LLP, San Diego, California. Certain legal matters relating to this offering will be passed upon for the underwriters by Latham &amp; Watkins LLP, San Diego, California.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2" w:name="toc61940_20"/>
      <w:bookmarkEnd w:id="22"/>
      <w:r>
        <w:rPr>
          <w:rFonts w:ascii="Arial" w:hAnsi="Arial"/>
          <w:b/>
          <w:sz w:val="20"/>
        </w:rPr>
        <w:t xml:space="preserve">EXPERTS </w:t>
      </w:r>
    </w:p>
    <w:p>
      <w:pPr>
        <w:pStyle w:val="TextBody"/>
        <w:bidi w:val="0"/>
        <w:spacing w:before="360" w:after="0"/>
        <w:jc w:val="left"/>
        <w:rPr>
          <w:rFonts w:ascii="Arial" w:hAnsi="Arial"/>
          <w:sz w:val="19"/>
        </w:rPr>
      </w:pPr>
      <w:r>
        <w:rPr>
          <w:rFonts w:ascii="Arial" w:hAnsi="Arial"/>
          <w:sz w:val="19"/>
        </w:rPr>
        <w:t xml:space="preserve">Ernst &amp; Young LLP, independent registered public accounting firm, has audited our financial statements at December 31, 2025 and 2024, and for the years then ended, as set forth in their report (which contains an explanatory paragraph describing conditions that raise substantial doubt about the Company’s ability to continue as a going concern as described in Note 1 to the financial statements). We have included our financial statements in the prospectus and elsewhere in the registration statement in reliance on Ernst &amp; Young LLP’s report,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3" w:name="toc61940_21"/>
      <w:bookmarkEnd w:id="23"/>
      <w:r>
        <w:rPr>
          <w:rFonts w:ascii="Arial" w:hAnsi="Arial"/>
          <w:b/>
          <w:sz w:val="20"/>
        </w:rPr>
        <w:t xml:space="preserve">WHERE YOU CAN FIND MORE INFORMATION </w:t>
      </w:r>
    </w:p>
    <w:p>
      <w:pPr>
        <w:pStyle w:val="TextBody"/>
        <w:bidi w:val="0"/>
        <w:spacing w:before="360" w:after="0"/>
        <w:jc w:val="left"/>
        <w:rPr>
          <w:rFonts w:ascii="Arial" w:hAnsi="Arial"/>
          <w:sz w:val="19"/>
        </w:rPr>
      </w:pPr>
      <w:r>
        <w:rPr>
          <w:rFonts w:ascii="Arial" w:hAnsi="Arial"/>
          <w:sz w:val="19"/>
        </w:rPr>
        <w:t xml:space="preserve">We have filed with the SEC a registration statement on Form S-1, including exhibits and schedules, under the Securities Act, with respect to the shares of our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80" w:after="0"/>
        <w:jc w:val="left"/>
        <w:rPr>
          <w:rFonts w:ascii="Arial" w:hAnsi="Arial"/>
          <w:sz w:val="19"/>
        </w:rPr>
      </w:pPr>
      <w:r>
        <w:rPr>
          <w:rFonts w:ascii="Arial" w:hAnsi="Arial"/>
          <w:sz w:val="19"/>
        </w:rPr>
        <w:t xml:space="preserve">You can read our SEC filings, including the registration statement, over the internet at the SEC’s website at </w:t>
      </w:r>
      <w:r>
        <w:rPr>
          <w:rFonts w:ascii="Arial" w:hAnsi="Arial"/>
          <w:i/>
          <w:sz w:val="19"/>
        </w:rPr>
        <w:t>www.sec.gov</w:t>
      </w:r>
      <w:r>
        <w:rPr>
          <w:rFonts w:ascii="Arial" w:hAnsi="Arial"/>
          <w:sz w:val="19"/>
        </w:rPr>
        <w:t xml:space="preserve">. </w:t>
      </w:r>
    </w:p>
    <w:p>
      <w:pPr>
        <w:pStyle w:val="TextBody"/>
        <w:bidi w:val="0"/>
        <w:spacing w:before="180" w:after="0"/>
        <w:jc w:val="left"/>
        <w:rPr>
          <w:rFonts w:ascii="Arial" w:hAnsi="Arial"/>
          <w:sz w:val="19"/>
        </w:rPr>
      </w:pPr>
      <w:r>
        <w:rPr>
          <w:rFonts w:ascii="Arial" w:hAnsi="Arial"/>
          <w:sz w:val="19"/>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at the website of the SEC referred to above. We also maintain a website at </w:t>
      </w:r>
      <w:r>
        <w:rPr>
          <w:rFonts w:ascii="Arial" w:hAnsi="Arial"/>
          <w:i/>
          <w:sz w:val="19"/>
        </w:rPr>
        <w:t>www.electra-therapeutics.com</w:t>
      </w:r>
      <w:r>
        <w:rPr>
          <w:rFonts w:ascii="Arial" w:hAnsi="Arial"/>
          <w:sz w:val="19"/>
        </w:rPr>
        <w:t xml:space="preserve">, at which, following the closing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4" w:name="toc61940_22"/>
      <w:bookmarkStart w:id="25" w:name="index"/>
      <w:bookmarkEnd w:id="24"/>
      <w:bookmarkEnd w:id="25"/>
      <w:r>
        <w:rPr>
          <w:rFonts w:ascii="Arial" w:hAnsi="Arial"/>
          <w:b/>
          <w:sz w:val="20"/>
        </w:rPr>
        <w:t xml:space="preserve">INDEX TO FINANCIAL STATEMENTS </w:t>
      </w:r>
    </w:p>
    <w:p>
      <w:pPr>
        <w:pStyle w:val="TextBody"/>
        <w:bidi w:val="0"/>
        <w:spacing w:before="360" w:after="0"/>
        <w:jc w:val="left"/>
        <w:rPr>
          <w:rFonts w:ascii="Arial" w:hAnsi="Arial"/>
          <w:b/>
          <w:sz w:val="20"/>
        </w:rPr>
      </w:pPr>
      <w:r>
        <w:rPr>
          <w:rFonts w:ascii="Arial" w:hAnsi="Arial"/>
          <w:b/>
          <w:sz w:val="20"/>
        </w:rPr>
        <w:t xml:space="preserve">Audited Financial Statements as of December 31, 2025 and 2024 and for the Years Ended December 31, 2025 and 2024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76"/>
        <w:gridCol w:w="259"/>
        <w:gridCol w:w="101"/>
        <w:gridCol w:w="606"/>
        <w:gridCol w:w="63"/>
      </w:tblGrid>
      <w:tr>
        <w:trPr/>
        <w:tc>
          <w:tcPr>
            <w:tcW w:w="9176"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76"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2">
              <w:r>
                <w:rPr>
                  <w:rStyle w:val="InternetLink"/>
                  <w:rFonts w:ascii="Arial" w:hAnsi="Arial"/>
                  <w:sz w:val="19"/>
                </w:rPr>
                <w:t>Report of Independent Registered Public Accounting Firm (PCAOB ID: 42)</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3">
              <w:r>
                <w:rPr>
                  <w:rStyle w:val="InternetLink"/>
                  <w:rFonts w:ascii="Arial" w:hAnsi="Arial"/>
                  <w:sz w:val="19"/>
                </w:rPr>
                <w:t>Balance Sheets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4">
              <w:r>
                <w:rPr>
                  <w:rStyle w:val="InternetLink"/>
                  <w:rFonts w:ascii="Arial" w:hAnsi="Arial"/>
                  <w:sz w:val="19"/>
                </w:rPr>
                <w:t>Statements of Operations and Comprehensive Loss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5">
              <w:r>
                <w:rPr>
                  <w:rStyle w:val="InternetLink"/>
                  <w:rFonts w:ascii="Arial" w:hAnsi="Arial"/>
                  <w:sz w:val="19"/>
                </w:rPr>
                <w:t>Statements of Redeemable Convertible Preferred Stock and Stockholders’ Deficit</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6">
              <w:r>
                <w:rPr>
                  <w:rStyle w:val="InternetLink"/>
                  <w:rFonts w:ascii="Arial" w:hAnsi="Arial"/>
                  <w:sz w:val="19"/>
                </w:rPr>
                <w:t>Statements of Cash Flows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176" w:type="dxa"/>
            <w:tcBorders/>
            <w:vAlign w:val="bottom"/>
          </w:tcPr>
          <w:p>
            <w:pPr>
              <w:pStyle w:val="TableContents"/>
              <w:bidi w:val="0"/>
              <w:spacing w:before="0" w:after="0"/>
              <w:jc w:val="left"/>
              <w:rPr/>
            </w:pPr>
            <w:hyperlink w:anchor="fin61940_7">
              <w:r>
                <w:rPr>
                  <w:rStyle w:val="InternetLink"/>
                  <w:rFonts w:ascii="Arial" w:hAnsi="Arial"/>
                  <w:sz w:val="19"/>
                </w:rPr>
                <w:t>Notes to the Financial Statements</w:t>
              </w:r>
            </w:hyperlink>
          </w:p>
        </w:tc>
        <w:tc>
          <w:tcPr>
            <w:tcW w:w="25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F-7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left"/>
        <w:rPr>
          <w:rFonts w:ascii="Arial" w:hAnsi="Arial"/>
          <w:b/>
          <w:sz w:val="20"/>
        </w:rPr>
      </w:pPr>
      <w:r>
        <w:rPr>
          <w:rFonts w:ascii="Arial" w:hAnsi="Arial"/>
          <w:b/>
          <w:sz w:val="20"/>
        </w:rPr>
        <w:t xml:space="preserve">Unaudited Interim Condensed Financial Statements as of June 30, 2026 and for the Six Months Ended June 30, 2026 and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5"/>
        <w:gridCol w:w="161"/>
        <w:gridCol w:w="78"/>
        <w:gridCol w:w="639"/>
        <w:gridCol w:w="62"/>
      </w:tblGrid>
      <w:tr>
        <w:trPr/>
        <w:tc>
          <w:tcPr>
            <w:tcW w:w="926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6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1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8">
              <w:r>
                <w:rPr>
                  <w:rStyle w:val="InternetLink"/>
                  <w:rFonts w:ascii="Arial" w:hAnsi="Arial"/>
                  <w:sz w:val="19"/>
                </w:rPr>
                <w:t>Condensed Balance Sheets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9">
              <w:r>
                <w:rPr>
                  <w:rStyle w:val="InternetLink"/>
                  <w:rFonts w:ascii="Arial" w:hAnsi="Arial"/>
                  <w:sz w:val="19"/>
                </w:rPr>
                <w:t xml:space="preserve">Condensed Statements of Operations </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9a">
              <w:r>
                <w:rPr>
                  <w:rStyle w:val="InternetLink"/>
                  <w:rFonts w:ascii="Arial" w:hAnsi="Arial"/>
                  <w:sz w:val="19"/>
                </w:rPr>
                <w:t>Condensed Statements of Comprehensive Loss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11">
              <w:r>
                <w:rPr>
                  <w:rStyle w:val="InternetLink"/>
                  <w:rFonts w:ascii="Arial" w:hAnsi="Arial"/>
                  <w:sz w:val="19"/>
                </w:rPr>
                <w:t>Condensed Statements of Redeemable Convertible Preferred Stock and Stockholders’ Deficit</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12">
              <w:r>
                <w:rPr>
                  <w:rStyle w:val="InternetLink"/>
                  <w:rFonts w:ascii="Arial" w:hAnsi="Arial"/>
                  <w:sz w:val="19"/>
                </w:rPr>
                <w:t>Condensed Statements of Cash Flows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c>
          <w:tcPr>
            <w:tcW w:w="9265" w:type="dxa"/>
            <w:tcBorders/>
            <w:vAlign w:val="bottom"/>
          </w:tcPr>
          <w:p>
            <w:pPr>
              <w:pStyle w:val="TableContents"/>
              <w:bidi w:val="0"/>
              <w:spacing w:before="0" w:after="0"/>
              <w:jc w:val="left"/>
              <w:rPr/>
            </w:pPr>
            <w:hyperlink w:anchor="fin61940_13">
              <w:r>
                <w:rPr>
                  <w:rStyle w:val="InternetLink"/>
                  <w:rFonts w:ascii="Arial" w:hAnsi="Arial"/>
                  <w:sz w:val="19"/>
                </w:rPr>
                <w:t>Notes to the Condensed Financial Statements</w:t>
              </w:r>
            </w:hyperlink>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6" w:name="fin61940_2"/>
      <w:bookmarkEnd w:id="26"/>
      <w:r>
        <w:rPr>
          <w:rFonts w:ascii="Arial" w:hAnsi="Arial"/>
          <w:b/>
          <w:sz w:val="20"/>
        </w:rPr>
        <w:t xml:space="preserve">Report of Independent Registered Public Accounting Firm </w:t>
      </w:r>
    </w:p>
    <w:p>
      <w:pPr>
        <w:pStyle w:val="TextBody"/>
        <w:bidi w:val="0"/>
        <w:spacing w:before="360" w:after="0"/>
        <w:jc w:val="left"/>
        <w:rPr>
          <w:rFonts w:ascii="Arial" w:hAnsi="Arial"/>
          <w:sz w:val="19"/>
        </w:rPr>
      </w:pPr>
      <w:r>
        <w:rPr>
          <w:rFonts w:ascii="Arial" w:hAnsi="Arial"/>
          <w:sz w:val="19"/>
        </w:rPr>
        <w:t xml:space="preserve">To the Stockholders and the Board of Directors of Electra Therapeutics, Inc. </w:t>
      </w:r>
    </w:p>
    <w:p>
      <w:pPr>
        <w:pStyle w:val="TextBody"/>
        <w:bidi w:val="0"/>
        <w:spacing w:before="240" w:after="0"/>
        <w:jc w:val="left"/>
        <w:rPr>
          <w:rFonts w:ascii="Arial" w:hAnsi="Arial"/>
          <w:b/>
          <w:sz w:val="20"/>
        </w:rPr>
      </w:pPr>
      <w:r>
        <w:rPr>
          <w:rFonts w:ascii="Arial" w:hAnsi="Arial"/>
          <w:b/>
          <w:sz w:val="20"/>
        </w:rPr>
        <w:t xml:space="preserve">Opinion on the Financial Statements </w:t>
      </w:r>
    </w:p>
    <w:p>
      <w:pPr>
        <w:pStyle w:val="TextBody"/>
        <w:bidi w:val="0"/>
        <w:spacing w:before="80" w:after="0"/>
        <w:jc w:val="left"/>
        <w:rPr>
          <w:rFonts w:ascii="Arial" w:hAnsi="Arial"/>
          <w:sz w:val="19"/>
        </w:rPr>
      </w:pPr>
      <w:r>
        <w:rPr>
          <w:rFonts w:ascii="Arial" w:hAnsi="Arial"/>
          <w:sz w:val="19"/>
        </w:rPr>
        <w:t xml:space="preserve">We have audited the accompanying balance sheets of Electra Therapeutics, Inc. (the Company) as of December 31, 2025 and 2024,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the years then ended in conformity with U.S. generally accepted accounting principles. </w:t>
      </w:r>
    </w:p>
    <w:p>
      <w:pPr>
        <w:pStyle w:val="TextBody"/>
        <w:bidi w:val="0"/>
        <w:spacing w:before="240" w:after="0"/>
        <w:jc w:val="left"/>
        <w:rPr>
          <w:rFonts w:ascii="Arial" w:hAnsi="Arial"/>
          <w:b/>
          <w:sz w:val="20"/>
        </w:rPr>
      </w:pPr>
      <w:r>
        <w:rPr>
          <w:rFonts w:ascii="Arial" w:hAnsi="Arial"/>
          <w:b/>
          <w:sz w:val="20"/>
        </w:rPr>
        <w:t xml:space="preserve">The Company’s Ability to Continue as a Going Concern </w:t>
      </w:r>
    </w:p>
    <w:p>
      <w:pPr>
        <w:pStyle w:val="TextBody"/>
        <w:bidi w:val="0"/>
        <w:spacing w:before="80" w:after="0"/>
        <w:jc w:val="left"/>
        <w:rPr>
          <w:rFonts w:ascii="Arial" w:hAnsi="Arial"/>
          <w:sz w:val="19"/>
        </w:rPr>
      </w:pPr>
      <w:r>
        <w:rPr>
          <w:rFonts w:ascii="Arial" w:hAnsi="Arial"/>
          <w:sz w:val="19"/>
        </w:rPr>
        <w:t xml:space="preserve">The accompanying financial statements have been prepared assuming that the Company will continue as a going concern. As discussed in Note 1 to the financial statements, the Company has suffered recurring losses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w:t>
      </w:r>
    </w:p>
    <w:p>
      <w:pPr>
        <w:pStyle w:val="TextBody"/>
        <w:bidi w:val="0"/>
        <w:spacing w:before="240" w:after="0"/>
        <w:jc w:val="left"/>
        <w:rPr>
          <w:rFonts w:ascii="Arial" w:hAnsi="Arial"/>
          <w:b/>
          <w:sz w:val="20"/>
        </w:rPr>
      </w:pPr>
      <w:r>
        <w:rPr>
          <w:rFonts w:ascii="Arial" w:hAnsi="Arial"/>
          <w:b/>
          <w:sz w:val="20"/>
        </w:rPr>
        <w:t xml:space="preserve">Basis for Opinion </w:t>
      </w:r>
    </w:p>
    <w:p>
      <w:pPr>
        <w:pStyle w:val="TextBody"/>
        <w:bidi w:val="0"/>
        <w:spacing w:before="80" w:after="0"/>
        <w:jc w:val="left"/>
        <w:rPr>
          <w:rFonts w:ascii="Arial" w:hAnsi="Arial"/>
          <w:sz w:val="19"/>
        </w:rPr>
      </w:pPr>
      <w:r>
        <w:rPr>
          <w:rFonts w:ascii="Arial" w:hAnsi="Arial"/>
          <w:sz w:val="19"/>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80" w:after="0"/>
        <w:jc w:val="left"/>
        <w:rPr>
          <w:rFonts w:ascii="Arial" w:hAnsi="Arial"/>
          <w:sz w:val="19"/>
        </w:rPr>
      </w:pPr>
      <w:r>
        <w:rPr>
          <w:rFonts w:ascii="Arial" w:hAnsi="Arial"/>
          <w:sz w:val="19"/>
        </w:rPr>
        <w:t xml:space="preserve">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80" w:after="0"/>
        <w:jc w:val="left"/>
        <w:rPr>
          <w:rFonts w:ascii="Arial" w:hAnsi="Arial"/>
          <w:sz w:val="19"/>
        </w:rPr>
      </w:pPr>
      <w:r>
        <w:rPr>
          <w:rFonts w:ascii="Arial" w:hAnsi="Arial"/>
          <w:sz w:val="19"/>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80" w:after="0"/>
        <w:jc w:val="left"/>
        <w:rPr>
          <w:rFonts w:ascii="Arial" w:hAnsi="Arial"/>
          <w:sz w:val="19"/>
        </w:rPr>
      </w:pPr>
      <w:r>
        <w:rPr>
          <w:rFonts w:ascii="Arial" w:hAnsi="Arial"/>
          <w:sz w:val="19"/>
        </w:rPr>
        <w:t xml:space="preserve">/s/ Ernst &amp; Young LLP </w:t>
      </w:r>
    </w:p>
    <w:p>
      <w:pPr>
        <w:pStyle w:val="TextBody"/>
        <w:bidi w:val="0"/>
        <w:spacing w:before="180" w:after="0"/>
        <w:jc w:val="left"/>
        <w:rPr>
          <w:rFonts w:ascii="Arial" w:hAnsi="Arial"/>
          <w:sz w:val="19"/>
        </w:rPr>
      </w:pPr>
      <w:r>
        <w:rPr>
          <w:rFonts w:ascii="Arial" w:hAnsi="Arial"/>
          <w:sz w:val="19"/>
        </w:rPr>
        <w:t xml:space="preserve">We have served as the Company’s auditor since 2022. </w:t>
      </w:r>
    </w:p>
    <w:p>
      <w:pPr>
        <w:pStyle w:val="TextBody"/>
        <w:bidi w:val="0"/>
        <w:spacing w:before="180" w:after="0"/>
        <w:jc w:val="left"/>
        <w:rPr>
          <w:rFonts w:ascii="Arial" w:hAnsi="Arial"/>
          <w:sz w:val="19"/>
        </w:rPr>
      </w:pPr>
      <w:r>
        <w:rPr>
          <w:rFonts w:ascii="Arial" w:hAnsi="Arial"/>
          <w:sz w:val="19"/>
        </w:rPr>
        <w:t xml:space="preserve">San Mateo, California </w:t>
      </w:r>
    </w:p>
    <w:p>
      <w:pPr>
        <w:pStyle w:val="TextBody"/>
        <w:bidi w:val="0"/>
        <w:spacing w:before="0" w:after="0"/>
        <w:jc w:val="left"/>
        <w:rPr>
          <w:rFonts w:ascii="Arial" w:hAnsi="Arial"/>
          <w:sz w:val="19"/>
        </w:rPr>
      </w:pPr>
      <w:r>
        <w:rPr>
          <w:rFonts w:ascii="Arial" w:hAnsi="Arial"/>
          <w:sz w:val="19"/>
        </w:rPr>
        <w:t xml:space="preserve">June 26, 2026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7" w:name="fin61940_3"/>
      <w:bookmarkEnd w:id="27"/>
      <w:r>
        <w:rPr>
          <w:rFonts w:ascii="Arial" w:hAnsi="Arial"/>
          <w:b/>
          <w:sz w:val="20"/>
        </w:rPr>
        <w:t xml:space="preserve">Balance Sheets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4"/>
        <w:gridCol w:w="309"/>
        <w:gridCol w:w="140"/>
        <w:gridCol w:w="875"/>
        <w:gridCol w:w="155"/>
        <w:gridCol w:w="277"/>
        <w:gridCol w:w="140"/>
        <w:gridCol w:w="875"/>
        <w:gridCol w:w="160"/>
      </w:tblGrid>
      <w:tr>
        <w:trPr/>
        <w:tc>
          <w:tcPr>
            <w:tcW w:w="727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7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46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274" w:type="dxa"/>
            <w:tcBorders/>
          </w:tcPr>
          <w:p>
            <w:pPr>
              <w:pStyle w:val="TableContents"/>
              <w:bidi w:val="0"/>
              <w:spacing w:before="0" w:after="0"/>
              <w:jc w:val="left"/>
              <w:rPr>
                <w:rFonts w:ascii="Arial" w:hAnsi="Arial"/>
                <w:sz w:val="19"/>
              </w:rPr>
            </w:pPr>
            <w:r>
              <w:rPr>
                <w:rFonts w:ascii="Arial" w:hAnsi="Arial"/>
                <w:sz w:val="19"/>
              </w:rPr>
              <w:t>Current assets: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33,008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14,787</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Marketable securities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53,510</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998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Other receivables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Prepaid expenses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8,748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3,580</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current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95,486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19,420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Property, plant, and equipment, net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674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Right-of-use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2,110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Other assets, non-current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1,098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assets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99,368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19,420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b/>
                <w:sz w:val="19"/>
              </w:rPr>
            </w:pPr>
            <w:r>
              <w:rPr>
                <w:rFonts w:ascii="Arial" w:hAnsi="Arial"/>
                <w:b/>
                <w:sz w:val="19"/>
              </w:rPr>
              <w:t>Liabilities, redeemable convertible preferred stock, and 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Current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274" w:type="dxa"/>
            <w:tcBorders/>
          </w:tcPr>
          <w:p>
            <w:pPr>
              <w:pStyle w:val="TableContents"/>
              <w:bidi w:val="0"/>
              <w:spacing w:before="0" w:after="0"/>
              <w:jc w:val="left"/>
              <w:rPr>
                <w:rFonts w:ascii="Arial" w:hAnsi="Arial"/>
                <w:sz w:val="19"/>
              </w:rPr>
            </w:pPr>
            <w:r>
              <w:rPr>
                <w:rFonts w:ascii="Arial" w:hAnsi="Arial"/>
                <w:sz w:val="19"/>
              </w:rPr>
              <w:t>Accounts payable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4,076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1,348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187</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Accrued liabilities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5,045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2,538</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122</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Operating lease liability</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605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current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9,726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4,195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Operating lease liability, net of current portion</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1,482</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liabilities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11,208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4,195</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Commitments and contingencies (Note 9)</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Series A redeemable convertible preferred stock: $0.0001 par value – 22,601,626 shares authorized, issued and outstanding as of December 31, 2025 and 2024, (liquidation preference of $34,750 as of December 31, 2025)</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34,650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34,650</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Series B redeemable convertible preferred stock: $0.0001 par value – 9,309,492 shares authorized, issued and outstanding as of December 31, 2025 and 2024, (liquidation preference of $84,019 as of December 31, 2025)</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83,836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83,836</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Series C redeemable convertible preferred stock: $0.001 par value – 27,203,243 shares and 0 shares authorized as of December 31, 2025 and 2024, respectively. 19,824,535 and 0 shares issued and outstanding as of December 31, 2025 and 2024, respectively, (liquidation preference of $134,188 as of December 31, 2025)</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133,116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 xml:space="preserve">Common stock: $0.0001 par value – 71,000,000 and 37,229,638 </w:t>
              <w:br/>
              <w:t>authorized shares as of December 31, 2025 and 2024, respectively; 44,000 shares issued and outstanding as each of December 31, 2025 and 2024</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Additional paid-in-capital</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9,515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7,741</w:t>
            </w:r>
          </w:p>
        </w:tc>
        <w:tc>
          <w:tcPr>
            <w:tcW w:w="160" w:type="dxa"/>
            <w:tcBorders/>
            <w:vAlign w:val="bottom"/>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(172,978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(111,003</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Accumulated other comprehensive income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shd w:fill="CCEEFF" w:val="clear"/>
          </w:tcPr>
          <w:p>
            <w:pPr>
              <w:pStyle w:val="TableContents"/>
              <w:bidi w:val="0"/>
              <w:spacing w:before="0" w:after="0"/>
              <w:jc w:val="left"/>
              <w:rPr>
                <w:rFonts w:ascii="Arial" w:hAnsi="Arial"/>
                <w:sz w:val="19"/>
              </w:rPr>
            </w:pPr>
            <w:r>
              <w:rPr>
                <w:rFonts w:ascii="Arial" w:hAnsi="Arial"/>
                <w:sz w:val="19"/>
              </w:rPr>
              <w:t>Total stockholders’ deficit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(163,442</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(103,261</w:t>
            </w:r>
          </w:p>
        </w:tc>
        <w:tc>
          <w:tcPr>
            <w:tcW w:w="160" w:type="dxa"/>
            <w:tcBorders/>
            <w:shd w:fill="CCEEFF" w:val="clear"/>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274" w:type="dxa"/>
            <w:tcBorders/>
          </w:tcPr>
          <w:p>
            <w:pPr>
              <w:pStyle w:val="TableContents"/>
              <w:bidi w:val="0"/>
              <w:spacing w:before="0" w:after="0"/>
              <w:jc w:val="left"/>
              <w:rPr>
                <w:rFonts w:ascii="Arial" w:hAnsi="Arial"/>
                <w:sz w:val="19"/>
              </w:rPr>
            </w:pPr>
            <w:r>
              <w:rPr>
                <w:rFonts w:ascii="Arial" w:hAnsi="Arial"/>
                <w:sz w:val="19"/>
              </w:rPr>
              <w:t>Total liabilities, redeemable convertible preferred stock and stockholders’ deficit</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99,368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19,420</w:t>
            </w:r>
          </w:p>
        </w:tc>
        <w:tc>
          <w:tcPr>
            <w:tcW w:w="160" w:type="dxa"/>
            <w:tcBorders/>
            <w:vAlign w:val="bottom"/>
          </w:tcPr>
          <w:p>
            <w:pPr>
              <w:pStyle w:val="TableContents"/>
              <w:bidi w:val="0"/>
              <w:spacing w:before="0" w:after="283"/>
              <w:jc w:val="left"/>
              <w:rPr/>
            </w:pPr>
            <w:r>
              <w:rPr/>
              <w:t> </w:t>
            </w:r>
          </w:p>
        </w:tc>
      </w:tr>
      <w:tr>
        <w:trPr/>
        <w:tc>
          <w:tcPr>
            <w:tcW w:w="7274"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8" w:name="fin61940_4"/>
      <w:bookmarkEnd w:id="28"/>
      <w:r>
        <w:rPr>
          <w:rFonts w:ascii="Arial" w:hAnsi="Arial"/>
          <w:b/>
          <w:sz w:val="20"/>
        </w:rPr>
        <w:t xml:space="preserve">Statements of Operations and Comprehensive Loss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1"/>
        <w:gridCol w:w="120"/>
        <w:gridCol w:w="220"/>
        <w:gridCol w:w="1435"/>
        <w:gridCol w:w="302"/>
        <w:gridCol w:w="456"/>
        <w:gridCol w:w="220"/>
        <w:gridCol w:w="1171"/>
        <w:gridCol w:w="160"/>
      </w:tblGrid>
      <w:tr>
        <w:trPr/>
        <w:tc>
          <w:tcPr>
            <w:tcW w:w="61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39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50,387</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19,267</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10,390</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5,241</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General and administrative – related party</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1,112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1,809</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61,889</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26,317</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Loss from operations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(61,889</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(26,317</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Interest income</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1,362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1,524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(1,433</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Other income (expense)</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(86</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1,531</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(61,975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Other comprehensive income:</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Unrealized gain on marketable securities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20</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Total comprehensive loss</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(61,955</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(24,786</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 per share, basic and diluted</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(1,408.52</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(563.32</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Weighted-average common shares outstanding, basic and diluted</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44,000</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right"/>
              <w:rPr/>
            </w:pPr>
            <w:r>
              <w:rPr/>
              <w:t>44,000</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29" w:name="fin61940_5"/>
      <w:bookmarkEnd w:id="29"/>
      <w:r>
        <w:rPr>
          <w:rFonts w:ascii="Arial" w:hAnsi="Arial"/>
          <w:b/>
          <w:sz w:val="20"/>
        </w:rPr>
        <w:t xml:space="preserve">Statements of Redeemable Convertible Preferred Stock and Stockholders’ Deficit </w:t>
      </w:r>
    </w:p>
    <w:p>
      <w:pPr>
        <w:pStyle w:val="TextBody"/>
        <w:bidi w:val="0"/>
        <w:spacing w:before="0" w:after="0"/>
        <w:jc w:val="center"/>
        <w:rPr>
          <w:rFonts w:ascii="Arial" w:hAnsi="Arial"/>
          <w:sz w:val="19"/>
        </w:rPr>
      </w:pPr>
      <w:r>
        <w:rPr>
          <w:rFonts w:ascii="Arial" w:hAnsi="Arial"/>
          <w:sz w:val="19"/>
        </w:rPr>
        <w:t xml:space="preserve">(In thousands,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9575" w:type="dxa"/>
        <w:jc w:val="center"/>
        <w:tblInd w:w="0" w:type="dxa"/>
        <w:tblLayout w:type="fixed"/>
        <w:tblCellMar>
          <w:top w:w="0" w:type="dxa"/>
          <w:left w:w="0" w:type="dxa"/>
          <w:bottom w:w="0" w:type="dxa"/>
          <w:right w:w="0" w:type="dxa"/>
        </w:tblCellMar>
      </w:tblPr>
      <w:tblGrid>
        <w:gridCol w:w="1145"/>
        <w:gridCol w:w="60"/>
        <w:gridCol w:w="60"/>
        <w:gridCol w:w="1100"/>
        <w:gridCol w:w="60"/>
        <w:gridCol w:w="60"/>
        <w:gridCol w:w="192"/>
        <w:gridCol w:w="938"/>
        <w:gridCol w:w="60"/>
        <w:gridCol w:w="60"/>
        <w:gridCol w:w="60"/>
        <w:gridCol w:w="980"/>
        <w:gridCol w:w="60"/>
        <w:gridCol w:w="60"/>
        <w:gridCol w:w="192"/>
        <w:gridCol w:w="938"/>
        <w:gridCol w:w="60"/>
        <w:gridCol w:w="60"/>
        <w:gridCol w:w="60"/>
        <w:gridCol w:w="1100"/>
        <w:gridCol w:w="60"/>
        <w:gridCol w:w="60"/>
        <w:gridCol w:w="168"/>
        <w:gridCol w:w="962"/>
        <w:gridCol w:w="60"/>
        <w:gridCol w:w="60"/>
        <w:gridCol w:w="99"/>
        <w:gridCol w:w="896"/>
        <w:gridCol w:w="60"/>
        <w:gridCol w:w="60"/>
        <w:gridCol w:w="395"/>
        <w:gridCol w:w="735"/>
        <w:gridCol w:w="60"/>
        <w:gridCol w:w="60"/>
        <w:gridCol w:w="322"/>
        <w:gridCol w:w="1288"/>
        <w:gridCol w:w="60"/>
        <w:gridCol w:w="60"/>
        <w:gridCol w:w="275"/>
        <w:gridCol w:w="1725"/>
        <w:gridCol w:w="155"/>
        <w:gridCol w:w="60"/>
        <w:gridCol w:w="768"/>
        <w:gridCol w:w="1427"/>
        <w:gridCol w:w="60"/>
        <w:gridCol w:w="60"/>
        <w:gridCol w:w="292"/>
        <w:gridCol w:w="1828"/>
        <w:gridCol w:w="155"/>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A</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B</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C</w:t>
              <w:br/>
              <w:t>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0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95"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OTHER</w:t>
              <w:br/>
              <w:t>COMPREHENSIVE</w:t>
              <w:br/>
              <w:t>INCOME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2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000" w:type="dxa"/>
            <w:gridSpan w:val="2"/>
            <w:vMerge w:val="continue"/>
            <w:tcBorders/>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5"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2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45"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9,309,492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5,432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(86,217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(80,784</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1,053</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1,256</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(24,786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(24,786</w:t>
            </w:r>
          </w:p>
        </w:tc>
        <w:tc>
          <w:tcPr>
            <w:tcW w:w="15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9,309,492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7,741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(111,003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(103,261</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Conversion of Notes into Series C redeemable convertible preferred stock – related party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6,121,225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41,433</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Issuance of Series C redeemable convertible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13,703,310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91,683</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1,294</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sz w:val="16"/>
              </w:rPr>
            </w:pPr>
            <w:r>
              <w:rPr>
                <w:rFonts w:ascii="Arial" w:hAnsi="Arial"/>
                <w:sz w:val="16"/>
              </w:rPr>
              <w:t>Other comprehensive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Arial" w:hAnsi="Arial"/>
                <w:sz w:val="16"/>
              </w:rPr>
            </w:pPr>
            <w:r>
              <w:rPr>
                <w:rFonts w:ascii="Arial" w:hAnsi="Arial"/>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(61,975</w:t>
            </w:r>
          </w:p>
        </w:tc>
        <w:tc>
          <w:tcPr>
            <w:tcW w:w="155"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Arial" w:hAnsi="Arial"/>
                <w:b/>
                <w:sz w:val="16"/>
              </w:rPr>
            </w:pPr>
            <w:r>
              <w:rPr>
                <w:rFonts w:ascii="Arial" w:hAnsi="Arial"/>
                <w:b/>
                <w:sz w:val="16"/>
              </w:rPr>
              <w:t>Balance as of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22,601,626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34,650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19,824,535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133,116</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44,000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9,515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(172,978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(163,442</w:t>
            </w:r>
          </w:p>
        </w:tc>
        <w:tc>
          <w:tcPr>
            <w:tcW w:w="15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7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0" w:name="fin61940_6"/>
      <w:bookmarkEnd w:id="30"/>
      <w:r>
        <w:rPr>
          <w:rFonts w:ascii="Arial" w:hAnsi="Arial"/>
          <w:b/>
          <w:sz w:val="20"/>
        </w:rPr>
        <w:t xml:space="preserve">Statements of Cash Flows </w:t>
      </w:r>
    </w:p>
    <w:p>
      <w:pPr>
        <w:pStyle w:val="TextBody"/>
        <w:bidi w:val="0"/>
        <w:spacing w:before="0" w:after="0"/>
        <w:jc w:val="center"/>
        <w:rPr>
          <w:rFonts w:ascii="Arial" w:hAnsi="Arial"/>
          <w:sz w:val="19"/>
        </w:rPr>
      </w:pPr>
      <w:r>
        <w:rPr>
          <w:rFonts w:ascii="Arial" w:hAnsi="Arial"/>
          <w:sz w:val="19"/>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64"/>
        <w:gridCol w:w="155"/>
        <w:gridCol w:w="236"/>
        <w:gridCol w:w="1308"/>
        <w:gridCol w:w="319"/>
        <w:gridCol w:w="472"/>
        <w:gridCol w:w="236"/>
        <w:gridCol w:w="1254"/>
        <w:gridCol w:w="161"/>
      </w:tblGrid>
      <w:tr>
        <w:trPr/>
        <w:tc>
          <w:tcPr>
            <w:tcW w:w="6064"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0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82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54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9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Cash flows from operating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Net loss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(61,975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(24,786</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Adjustments to reconcile net loss to net cash used in operating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Stock-based compensation expense – profits interest units and options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1,774</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2,309</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Depreciation and amortization</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61</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Non-cash interest expense – related party</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1,433</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Non-cash lease expense</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215</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Amortization of premiums and discounts of marketable securities, net</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(248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(722</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Changes in assets and liabilities: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Other receivables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(165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38</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Prepaid expenses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(5,168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(3,259</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Operating lease liabilities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(239</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Other assets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(1,098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Accounts payable</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2,728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1,081</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(187</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(983</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Accrued liabilities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2,507</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484</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(122</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(165</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Net cash used in operating activities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(60,484</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(26,003</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Cash flows from investing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Proceeds from maturity of marketable securities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1,000</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34,500</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Purchase of equipment</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(733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Purchases of marketable securities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(53,245</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(4,799</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Net cash provided by (used in) investing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(52,978</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29,701</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b/>
                <w:sz w:val="19"/>
              </w:rPr>
            </w:pPr>
            <w:r>
              <w:rPr>
                <w:rFonts w:ascii="Arial" w:hAnsi="Arial"/>
                <w:b/>
                <w:sz w:val="19"/>
              </w:rPr>
              <w:t>Cash flows from financing activities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308"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Proceeds from the issuance of convertible promissory notes – related party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40,000</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Proceeds from the issuance of Series C redeemable convertible preferred stock, net of $1.1 million issuance costs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91,683</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Net cash provided by financing activities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131,683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Net increase in cash and cash equivalents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18,221</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3,698</w:t>
            </w:r>
          </w:p>
        </w:tc>
        <w:tc>
          <w:tcPr>
            <w:tcW w:w="161" w:type="dxa"/>
            <w:tcBorders/>
            <w:vAlign w:val="bottom"/>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 at the beginning of the year</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14,787</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11,089</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Cash and cash equivalents at the end of the year</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33,008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14,787</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b/>
                <w:sz w:val="19"/>
              </w:rPr>
            </w:pPr>
            <w:r>
              <w:rPr>
                <w:rFonts w:ascii="Arial" w:hAnsi="Arial"/>
                <w:b/>
                <w:sz w:val="19"/>
              </w:rPr>
              <w:t>Supplemental disclosures:</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308"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6064" w:type="dxa"/>
            <w:tcBorders/>
          </w:tcPr>
          <w:p>
            <w:pPr>
              <w:pStyle w:val="TableContents"/>
              <w:bidi w:val="0"/>
              <w:spacing w:before="0" w:after="0"/>
              <w:jc w:val="left"/>
              <w:rPr>
                <w:rFonts w:ascii="Arial" w:hAnsi="Arial"/>
                <w:sz w:val="19"/>
              </w:rPr>
            </w:pPr>
            <w:r>
              <w:rPr>
                <w:rFonts w:ascii="Arial" w:hAnsi="Arial"/>
                <w:sz w:val="19"/>
              </w:rPr>
              <w:t>Cash paid for taxes</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8</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27</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Initial recognition of right-of-use asset in exchange for lease liability</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2,325</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tcPr>
          <w:p>
            <w:pPr>
              <w:pStyle w:val="TableContents"/>
              <w:bidi w:val="0"/>
              <w:spacing w:before="0" w:after="0"/>
              <w:jc w:val="left"/>
              <w:rPr>
                <w:rFonts w:ascii="Arial" w:hAnsi="Arial"/>
                <w:sz w:val="19"/>
              </w:rPr>
            </w:pPr>
            <w:r>
              <w:rPr>
                <w:rFonts w:ascii="Arial" w:hAnsi="Arial"/>
                <w:sz w:val="19"/>
              </w:rPr>
              <w:t>Conversion of Notes into Series C redeemable convertible preferred stock</w:t>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40,000</w:t>
            </w:r>
          </w:p>
        </w:tc>
        <w:tc>
          <w:tcPr>
            <w:tcW w:w="319"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6064" w:type="dxa"/>
            <w:tcBorders/>
            <w:shd w:fill="CCEEFF" w:val="clear"/>
          </w:tcPr>
          <w:p>
            <w:pPr>
              <w:pStyle w:val="TableContents"/>
              <w:bidi w:val="0"/>
              <w:spacing w:before="0" w:after="0"/>
              <w:jc w:val="left"/>
              <w:rPr>
                <w:rFonts w:ascii="Arial" w:hAnsi="Arial"/>
                <w:sz w:val="19"/>
              </w:rPr>
            </w:pPr>
            <w:r>
              <w:rPr>
                <w:rFonts w:ascii="Arial" w:hAnsi="Arial"/>
                <w:sz w:val="19"/>
              </w:rPr>
              <w:t>Conversion of non-cash interest expense – related party into Series C redeemable convertible preferred stock</w:t>
            </w:r>
          </w:p>
        </w:tc>
        <w:tc>
          <w:tcPr>
            <w:tcW w:w="15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1,433</w:t>
            </w:r>
          </w:p>
        </w:tc>
        <w:tc>
          <w:tcPr>
            <w:tcW w:w="319"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60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1" w:name="fin61940_7"/>
      <w:bookmarkEnd w:id="31"/>
      <w:r>
        <w:rPr>
          <w:rFonts w:ascii="Arial" w:hAnsi="Arial"/>
          <w:b/>
          <w:sz w:val="20"/>
        </w:rPr>
        <w:t xml:space="preserve">1. Organization and Description of Business </w:t>
      </w:r>
    </w:p>
    <w:p>
      <w:pPr>
        <w:pStyle w:val="TextBody"/>
        <w:bidi w:val="0"/>
        <w:spacing w:before="80" w:after="0"/>
        <w:jc w:val="left"/>
        <w:rPr>
          <w:rFonts w:ascii="Arial" w:hAnsi="Arial"/>
          <w:b/>
          <w:i/>
          <w:sz w:val="19"/>
        </w:rPr>
      </w:pPr>
      <w:r>
        <w:rPr>
          <w:rFonts w:ascii="Arial" w:hAnsi="Arial"/>
          <w:b/>
          <w:i/>
          <w:sz w:val="19"/>
        </w:rPr>
        <w:t xml:space="preserve">Description of Business </w:t>
      </w:r>
    </w:p>
    <w:p>
      <w:pPr>
        <w:pStyle w:val="TextBody"/>
        <w:bidi w:val="0"/>
        <w:spacing w:before="40" w:after="0"/>
        <w:jc w:val="left"/>
        <w:rPr>
          <w:rFonts w:ascii="Arial" w:hAnsi="Arial"/>
          <w:sz w:val="19"/>
        </w:rPr>
      </w:pPr>
      <w:r>
        <w:rPr>
          <w:rFonts w:ascii="Arial" w:hAnsi="Arial"/>
          <w:sz w:val="19"/>
        </w:rPr>
        <w:t>Electra Therapeutics, Inc. (“Electra”, or the “Company”) was incorporated in 2018 and is a late clinical-stage biopharmaceutical company focused on pioneering a new class of precision medicines for the treatment of immune-mediated diseases and cancer. The Company’s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The Company’s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The Company is also advancing ELA822, a novel SIRP</w:t>
      </w:r>
      <w:r>
        <w:rPr>
          <w:rFonts w:ascii="SYMBOL" w:hAnsi="SYMBOL"/>
          <w:sz w:val="19"/>
        </w:rPr>
        <w:t>g</w:t>
      </w:r>
      <w:r>
        <w:rPr>
          <w:rFonts w:ascii="Arial" w:hAnsi="Arial"/>
          <w:sz w:val="19"/>
        </w:rPr>
        <w:t xml:space="preserve">-specific monoclonal antibody designed to selectively deplete activated T cells, with potential applications across chronic T cell mediated immune and inflammatory diseases. </w:t>
      </w:r>
    </w:p>
    <w:p>
      <w:pPr>
        <w:pStyle w:val="TextBody"/>
        <w:bidi w:val="0"/>
        <w:spacing w:before="80" w:after="0"/>
        <w:jc w:val="left"/>
        <w:rPr>
          <w:rFonts w:ascii="Arial" w:hAnsi="Arial"/>
          <w:b/>
          <w:i/>
          <w:sz w:val="19"/>
        </w:rPr>
      </w:pPr>
      <w:r>
        <w:rPr>
          <w:rFonts w:ascii="Arial" w:hAnsi="Arial"/>
          <w:b/>
          <w:i/>
          <w:sz w:val="19"/>
        </w:rPr>
        <w:t xml:space="preserve">Liquidity and Going Concern </w:t>
      </w:r>
    </w:p>
    <w:p>
      <w:pPr>
        <w:pStyle w:val="TextBody"/>
        <w:bidi w:val="0"/>
        <w:spacing w:before="40" w:after="0"/>
        <w:jc w:val="left"/>
        <w:rPr>
          <w:rFonts w:ascii="Arial" w:hAnsi="Arial"/>
          <w:sz w:val="19"/>
        </w:rPr>
      </w:pPr>
      <w:r>
        <w:rPr>
          <w:rFonts w:ascii="Arial" w:hAnsi="Arial"/>
          <w:sz w:val="19"/>
        </w:rPr>
        <w:t xml:space="preserve">The Company has evaluated whether there are conditions and events which raise substantial doubt about its ability to continue as a going concern within one year after the date the financial statements are available to be issued. The accompanying financial statements are prepared in accordance with generally accepted accounting principles applicable to a going concern, which contemplates the realization of assets and the satisfaction of liabilities in the normal course of business. </w:t>
      </w:r>
    </w:p>
    <w:p>
      <w:pPr>
        <w:pStyle w:val="TextBody"/>
        <w:bidi w:val="0"/>
        <w:spacing w:before="180" w:after="0"/>
        <w:jc w:val="left"/>
        <w:rPr>
          <w:rFonts w:ascii="Arial" w:hAnsi="Arial"/>
          <w:sz w:val="19"/>
        </w:rPr>
      </w:pPr>
      <w:r>
        <w:rPr>
          <w:rFonts w:ascii="Arial" w:hAnsi="Arial"/>
          <w:sz w:val="19"/>
        </w:rPr>
        <w:t xml:space="preserve">As of December 31, 2025, the Company had assets of $99.4 million consisting primarily of cash, cash equivalents and marketable securities of $86.5 million with total liabilities of $11.2 million. The Company has incurred significant net operating losses from operations and had an accumulated deficit of approximately $173.0 million as of December 31, 2025. The Company incurred a net loss of approximately $62.0 million and used approximately $60.5 million of cash in operating activities for the year ended December 31, 2025. The Company had no debt obligation outstanding as of December 31, 2025. Additionally, the Company anticipates that its net operating losses and negative operating cash flows will continue to increase for the foreseeable future as it continues to expand its research and development programs. The Company expects that its cash, cash equivalents, and marketable securities as of December 31, 2025 together with the proceeds from the issuance of the second tranche of the Series C redeemable convertible preferred stock in June 2026 will not be sufficient to fund its current business plan including related operating expenditure requirements through at least 12 months from the date of issuance of these financial statements. These conditions and events raise substantial doubt about the Company’s ability to continue as a going concern. </w:t>
      </w:r>
    </w:p>
    <w:p>
      <w:pPr>
        <w:pStyle w:val="TextBody"/>
        <w:bidi w:val="0"/>
        <w:spacing w:before="180" w:after="0"/>
        <w:jc w:val="left"/>
        <w:rPr>
          <w:rFonts w:ascii="Arial" w:hAnsi="Arial"/>
          <w:sz w:val="19"/>
        </w:rPr>
      </w:pPr>
      <w:r>
        <w:rPr>
          <w:rFonts w:ascii="Arial" w:hAnsi="Arial"/>
          <w:sz w:val="19"/>
        </w:rPr>
        <w:t xml:space="preserve">The Company’s long-term success is dependent upon its ability to successfully develop and market its pharmaceutical candidates, obtain additional capital when needed and, ultimately, to achieve profitable operations. </w:t>
      </w:r>
    </w:p>
    <w:p>
      <w:pPr>
        <w:pStyle w:val="TextBody"/>
        <w:bidi w:val="0"/>
        <w:spacing w:before="180" w:after="0"/>
        <w:jc w:val="left"/>
        <w:rPr>
          <w:rFonts w:ascii="Arial" w:hAnsi="Arial"/>
          <w:sz w:val="19"/>
        </w:rPr>
      </w:pPr>
      <w:r>
        <w:rPr>
          <w:rFonts w:ascii="Arial" w:hAnsi="Arial"/>
          <w:sz w:val="19"/>
        </w:rPr>
        <w:t xml:space="preserve">The Company plans to raise additional capital to continue funding its development efforts and operations. The Company is actively pursuing raising additional capital; however, there can be no assurance that funds will be available to the Company on acceptable terms, or on a timely basis, if at all based on both market conditions and management’s control. If the Company is unable to obtain an adequate level of capital needed to continue its research and development activities, the Company will need to delay, reduce or eliminate some or all of its planned activities and reduce costs. Doing so will likely have an adverse effect on the ability to execute the Company’s business plan. It is not considered probable that the Company’s plans to raise additional capital nor reduce discretionary spending will alleviate the substantial doubt regarding its ability to continue as a going concern. </w:t>
      </w:r>
    </w:p>
    <w:p>
      <w:pPr>
        <w:pStyle w:val="TextBody"/>
        <w:bidi w:val="0"/>
        <w:spacing w:before="180" w:after="0"/>
        <w:jc w:val="left"/>
        <w:rPr>
          <w:rFonts w:ascii="Arial" w:hAnsi="Arial"/>
          <w:sz w:val="19"/>
        </w:rPr>
      </w:pPr>
      <w:r>
        <w:rPr>
          <w:rFonts w:ascii="Arial" w:hAnsi="Arial"/>
          <w:sz w:val="19"/>
        </w:rPr>
        <w:t xml:space="preserve">The accompanying financial statements do not include any adjustments relating to the recoverability and classification of recorded asset amounts or the amounts and classification of liabilities that might result from the outcome of these uncertainties. </w:t>
      </w:r>
    </w:p>
    <w:p>
      <w:pPr>
        <w:pStyle w:val="TextBody"/>
        <w:bidi w:val="0"/>
        <w:spacing w:before="80" w:after="0"/>
        <w:jc w:val="left"/>
        <w:rPr>
          <w:rFonts w:ascii="Arial" w:hAnsi="Arial"/>
          <w:b/>
          <w:i/>
          <w:sz w:val="19"/>
        </w:rPr>
      </w:pPr>
      <w:r>
        <w:rPr>
          <w:rFonts w:ascii="Arial" w:hAnsi="Arial"/>
          <w:b/>
          <w:i/>
          <w:sz w:val="19"/>
        </w:rPr>
        <w:t xml:space="preserve">Risks and Uncertainties </w:t>
      </w:r>
    </w:p>
    <w:p>
      <w:pPr>
        <w:pStyle w:val="TextBody"/>
        <w:bidi w:val="0"/>
        <w:spacing w:before="80" w:after="0"/>
        <w:jc w:val="left"/>
        <w:rPr>
          <w:rFonts w:ascii="Arial" w:hAnsi="Arial"/>
          <w:sz w:val="19"/>
        </w:rPr>
      </w:pPr>
      <w:r>
        <w:rPr>
          <w:rFonts w:ascii="Arial" w:hAnsi="Arial"/>
          <w:sz w:val="19"/>
        </w:rPr>
        <w:t xml:space="preserve">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change of internal trade relations, new legislation and tariffs, and the ability to secure additional capital to fund operations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commercial success of its product candidates. Ipsoprubart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 </w:t>
      </w:r>
    </w:p>
    <w:p>
      <w:pPr>
        <w:pStyle w:val="TextBody"/>
        <w:bidi w:val="0"/>
        <w:spacing w:before="240" w:after="0"/>
        <w:jc w:val="left"/>
        <w:rPr>
          <w:rFonts w:ascii="Arial" w:hAnsi="Arial"/>
          <w:b/>
          <w:sz w:val="20"/>
        </w:rPr>
      </w:pPr>
      <w:r>
        <w:rPr>
          <w:rFonts w:ascii="Arial" w:hAnsi="Arial"/>
          <w:b/>
          <w:sz w:val="20"/>
        </w:rPr>
        <w:t xml:space="preserve">2. Summary of Significant Accounting Policies </w:t>
      </w:r>
    </w:p>
    <w:p>
      <w:pPr>
        <w:pStyle w:val="TextBody"/>
        <w:bidi w:val="0"/>
        <w:spacing w:before="80" w:after="0"/>
        <w:jc w:val="left"/>
        <w:rPr>
          <w:rFonts w:ascii="Arial" w:hAnsi="Arial"/>
          <w:b/>
          <w:i/>
          <w:sz w:val="19"/>
        </w:rPr>
      </w:pPr>
      <w:r>
        <w:rPr>
          <w:rFonts w:ascii="Arial" w:hAnsi="Arial"/>
          <w:b/>
          <w:i/>
          <w:sz w:val="19"/>
        </w:rPr>
        <w:t xml:space="preserve">Basis of Presentation </w:t>
      </w:r>
    </w:p>
    <w:p>
      <w:pPr>
        <w:pStyle w:val="TextBody"/>
        <w:bidi w:val="0"/>
        <w:spacing w:before="40" w:after="0"/>
        <w:jc w:val="left"/>
        <w:rPr>
          <w:rFonts w:ascii="Arial" w:hAnsi="Arial"/>
          <w:sz w:val="19"/>
        </w:rPr>
      </w:pPr>
      <w:r>
        <w:rPr>
          <w:rFonts w:ascii="Arial" w:hAnsi="Arial"/>
          <w:sz w:val="19"/>
        </w:rPr>
        <w:t xml:space="preserve">The accompanying financial statements have been prepared in conformity with accounting principles generally accepted in the United States of America (“U.S. GAAP”), stated in U.S. dollars as of December 31, 2025 and 2024, and for the years then ended.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80" w:after="0"/>
        <w:jc w:val="left"/>
        <w:rPr>
          <w:rFonts w:ascii="Arial" w:hAnsi="Arial"/>
          <w:b/>
          <w:i/>
          <w:sz w:val="19"/>
        </w:rPr>
      </w:pPr>
      <w:r>
        <w:rPr>
          <w:rFonts w:ascii="Arial" w:hAnsi="Arial"/>
          <w:b/>
          <w:i/>
          <w:sz w:val="19"/>
        </w:rPr>
        <w:t xml:space="preserve">Use of Estimates </w:t>
      </w:r>
    </w:p>
    <w:p>
      <w:pPr>
        <w:pStyle w:val="TextBody"/>
        <w:bidi w:val="0"/>
        <w:spacing w:before="40" w:after="0"/>
        <w:jc w:val="left"/>
        <w:rPr>
          <w:rFonts w:ascii="Arial" w:hAnsi="Arial"/>
          <w:sz w:val="19"/>
        </w:rPr>
      </w:pPr>
      <w:r>
        <w:rPr>
          <w:rFonts w:ascii="Arial" w:hAnsi="Arial"/>
          <w:sz w:val="19"/>
        </w:rPr>
        <w:t xml:space="preserve">The preparation of financial statements requires management to make judgments, assumptions and estimates that affect the reported amounts of assets, liabilities, and expenses. Specific accounts that require management estimates include, but are not limited to, research and development accruals (including clinical trial accruals), the fair values of convertible preferred stock and common stock, and stock-based compensation. Management bases its estimates on historical experience and various other assumptions that are believed to be reasonable under the circumstances, the results of which form the basis for making judgments about the carrying value of assets and liabilities that are not readily apparent from other sources. Accordingly, actual results could differ materially from those estimates. To the extent that there are differences between management’s estimates and actual results, the Company’s future financial statement presentation, financial condition, results of operations, and cash flows may be affected. </w:t>
      </w:r>
    </w:p>
    <w:p>
      <w:pPr>
        <w:pStyle w:val="TextBody"/>
        <w:bidi w:val="0"/>
        <w:spacing w:before="80" w:after="0"/>
        <w:jc w:val="left"/>
        <w:rPr>
          <w:rFonts w:ascii="Arial" w:hAnsi="Arial"/>
          <w:b/>
          <w:i/>
          <w:sz w:val="19"/>
        </w:rPr>
      </w:pPr>
      <w:r>
        <w:rPr>
          <w:rFonts w:ascii="Arial" w:hAnsi="Arial"/>
          <w:b/>
          <w:i/>
          <w:sz w:val="19"/>
        </w:rPr>
        <w:t xml:space="preserve">Cash and Cash Equivalents </w:t>
      </w:r>
    </w:p>
    <w:p>
      <w:pPr>
        <w:pStyle w:val="TextBody"/>
        <w:bidi w:val="0"/>
        <w:spacing w:before="40" w:after="0"/>
        <w:jc w:val="left"/>
        <w:rPr>
          <w:rFonts w:ascii="Arial" w:hAnsi="Arial"/>
          <w:sz w:val="19"/>
        </w:rPr>
      </w:pPr>
      <w:r>
        <w:rPr>
          <w:rFonts w:ascii="Arial" w:hAnsi="Arial"/>
          <w:sz w:val="19"/>
        </w:rPr>
        <w:t xml:space="preserve">Cash and cash equivalents consist of highly liquid investments with original maturities of 90 days or less at the date of purchase, including funds held in government-backed money market accounts. Cash is deposited in checking accounts at financial institutions. Such deposits may, at times, exceed the limits established by the Federal Deposit Insurance Corporation (“FDIC”). The Company has not experienced any losses on its deposits. </w:t>
      </w:r>
    </w:p>
    <w:p>
      <w:pPr>
        <w:pStyle w:val="TextBody"/>
        <w:bidi w:val="0"/>
        <w:spacing w:before="80" w:after="0"/>
        <w:jc w:val="left"/>
        <w:rPr>
          <w:rFonts w:ascii="Arial" w:hAnsi="Arial"/>
          <w:b/>
          <w:i/>
          <w:sz w:val="19"/>
        </w:rPr>
      </w:pPr>
      <w:r>
        <w:rPr>
          <w:rFonts w:ascii="Arial" w:hAnsi="Arial"/>
          <w:b/>
          <w:i/>
          <w:sz w:val="19"/>
        </w:rPr>
        <w:t xml:space="preserve">Marketable Securities </w:t>
      </w:r>
    </w:p>
    <w:p>
      <w:pPr>
        <w:pStyle w:val="TextBody"/>
        <w:bidi w:val="0"/>
        <w:spacing w:before="40" w:after="0"/>
        <w:jc w:val="left"/>
        <w:rPr>
          <w:rFonts w:ascii="Arial" w:hAnsi="Arial"/>
          <w:sz w:val="19"/>
        </w:rPr>
      </w:pPr>
      <w:r>
        <w:rPr>
          <w:rFonts w:ascii="Arial" w:hAnsi="Arial"/>
          <w:sz w:val="19"/>
        </w:rPr>
        <w:t xml:space="preserve">The Company’s investments consist primarily of commercial paper, agency discount notes, corporate securities, and US government securities which are classified as available-for-sale. Available-for-sale investments are classified as current assets as they are highly liquid and available for use in current operations. The Company records investments at fair value with unrealized gains and losses recorded as a component of accumulated other comprehensive income on the balance sheets. Premiums and discounts are amortized (accreted) over the life of the related security as an adjustment to its yield. Dividend and interest income are recognized when earned. Realized gains and losses are included in other income (expense), net in the statements of operations and comprehensive loss and are derived using the specific identification method for determining the cost of investments sold. </w:t>
      </w:r>
    </w:p>
    <w:p>
      <w:pPr>
        <w:pStyle w:val="TextBody"/>
        <w:bidi w:val="0"/>
        <w:spacing w:before="180" w:after="0"/>
        <w:jc w:val="left"/>
        <w:rPr>
          <w:rFonts w:ascii="Arial" w:hAnsi="Arial"/>
          <w:sz w:val="19"/>
        </w:rPr>
      </w:pPr>
      <w:r>
        <w:rPr>
          <w:rFonts w:ascii="Arial" w:hAnsi="Arial"/>
          <w:sz w:val="19"/>
        </w:rPr>
        <w:t xml:space="preserve">The Company assesses whether a loss on its investments has occurred due to declines in fair value or other market conditions. With respect to the Company’s debt securities, this assessment takes into account the severity and duration of the decline in value, its intent to sell the security, whether it is more likely than not that the Company will be required to sell the security before recovery of its amortized cost basis, and whether the Company expect to recover the entire amortized cost basis of the security (that is, whether a credit loss exists). A decline in the fair value of any debt security below cost that is deemed to be attributable to credit loss results in a charge to earnings and the corresponding establishment of an allowance for credit losses against the cost basis of the security. For the years ended December 31, 2025 and 2024, no credit losses were incurred. </w:t>
      </w:r>
    </w:p>
    <w:p>
      <w:pPr>
        <w:pStyle w:val="TextBody"/>
        <w:bidi w:val="0"/>
        <w:spacing w:before="80" w:after="0"/>
        <w:jc w:val="left"/>
        <w:rPr>
          <w:rFonts w:ascii="Arial" w:hAnsi="Arial"/>
          <w:b/>
          <w:i/>
          <w:sz w:val="19"/>
        </w:rPr>
      </w:pPr>
      <w:r>
        <w:rPr>
          <w:rFonts w:ascii="Arial" w:hAnsi="Arial"/>
          <w:b/>
          <w:i/>
          <w:sz w:val="19"/>
        </w:rPr>
        <w:t xml:space="preserve">Property and Equipment, Net </w:t>
      </w:r>
    </w:p>
    <w:p>
      <w:pPr>
        <w:pStyle w:val="TextBody"/>
        <w:bidi w:val="0"/>
        <w:spacing w:before="40" w:after="0"/>
        <w:jc w:val="left"/>
        <w:rPr>
          <w:rFonts w:ascii="Arial" w:hAnsi="Arial"/>
          <w:sz w:val="19"/>
        </w:rPr>
      </w:pPr>
      <w:r>
        <w:rPr>
          <w:rFonts w:ascii="Arial" w:hAnsi="Arial"/>
          <w:sz w:val="19"/>
        </w:rPr>
        <w:t xml:space="preserve">Property and equipment, net is stated at cost, less accumulated depreciation. Depreciation is calculated on a straight-line basis over the estimated useful lives of the related assets, generally ranging from three to five years. Maintenance and repair costs are expensed as incurred. Upon retirement or sale of the assets, the cost and related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accumulated depreciation are removed from the balance sheet and the resulting gains or losses are recorded in the statements of operations and comprehensive loss. </w:t>
      </w:r>
    </w:p>
    <w:p>
      <w:pPr>
        <w:pStyle w:val="TextBody"/>
        <w:bidi w:val="0"/>
        <w:spacing w:before="80" w:after="0"/>
        <w:jc w:val="left"/>
        <w:rPr>
          <w:rFonts w:ascii="Arial" w:hAnsi="Arial"/>
          <w:b/>
          <w:i/>
          <w:sz w:val="19"/>
        </w:rPr>
      </w:pPr>
      <w:r>
        <w:rPr>
          <w:rFonts w:ascii="Arial" w:hAnsi="Arial"/>
          <w:b/>
          <w:i/>
          <w:sz w:val="19"/>
        </w:rPr>
        <w:t xml:space="preserve">Leases </w:t>
      </w:r>
    </w:p>
    <w:p>
      <w:pPr>
        <w:pStyle w:val="TextBody"/>
        <w:bidi w:val="0"/>
        <w:spacing w:before="40" w:after="0"/>
        <w:jc w:val="left"/>
        <w:rPr>
          <w:rFonts w:ascii="Arial" w:hAnsi="Arial"/>
          <w:sz w:val="19"/>
        </w:rPr>
      </w:pPr>
      <w:r>
        <w:rPr>
          <w:rFonts w:ascii="Arial" w:hAnsi="Arial"/>
          <w:sz w:val="19"/>
        </w:rPr>
        <w:t xml:space="preserve">The Company determines if an arrangement is a lease at inception. The Company classifies leases as either operating or finance leases. Operating lease right-of-use assets and lease liabilities are recognized at the commencement date based on the present value of lease payments over the lease term. Operating lease right-of-use assets also include any lease payments made at or before the commencement date, less any lease incentives received, and any initial direct costs incurred. </w:t>
      </w:r>
    </w:p>
    <w:p>
      <w:pPr>
        <w:pStyle w:val="TextBody"/>
        <w:bidi w:val="0"/>
        <w:spacing w:before="180" w:after="0"/>
        <w:jc w:val="left"/>
        <w:rPr>
          <w:rFonts w:ascii="Arial" w:hAnsi="Arial"/>
          <w:sz w:val="19"/>
        </w:rPr>
      </w:pPr>
      <w:r>
        <w:rPr>
          <w:rFonts w:ascii="Arial" w:hAnsi="Arial"/>
          <w:sz w:val="19"/>
        </w:rPr>
        <w:t xml:space="preserve">The Company uses its incremental borrowing rate (“IBR”) as the discount rate for leases when the rate implicit in the lease is not readily determinable. The IBR is estimated based on the rate of interest the Company would have to pay to borrow an amount equal to the lease payments on a collateralized basis over a similar term in a similar economic environment.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and is included in operating expenses in the statements of operations and comprehensive loss. Variable lease payments that do not depend on an index or rate are recognized as expense in the period in which the obligation is incurred. The Company accounts for lease components and non-lease components separately. Variable payments for the Company’s proportionate share of operating expenses and tax expenses are considered non-lease components and are not included in the measurement of the lease liability. For the Company’s long-term lease, the lease term includes the non-cancelable period of the lease plus any periods covered by an option to extend the lease when the Company is reasonably certain to exercise such option. </w:t>
      </w:r>
    </w:p>
    <w:p>
      <w:pPr>
        <w:pStyle w:val="TextBody"/>
        <w:bidi w:val="0"/>
        <w:spacing w:before="180" w:after="0"/>
        <w:jc w:val="left"/>
        <w:rPr>
          <w:rFonts w:ascii="Arial" w:hAnsi="Arial"/>
          <w:sz w:val="19"/>
        </w:rPr>
      </w:pPr>
      <w:r>
        <w:rPr>
          <w:rFonts w:ascii="Arial" w:hAnsi="Arial"/>
          <w:sz w:val="19"/>
        </w:rPr>
        <w:t xml:space="preserve">As of December 31, 2025, the Company did not have any short-term leases. </w:t>
      </w:r>
    </w:p>
    <w:p>
      <w:pPr>
        <w:pStyle w:val="TextBody"/>
        <w:bidi w:val="0"/>
        <w:spacing w:before="80" w:after="0"/>
        <w:jc w:val="left"/>
        <w:rPr>
          <w:rFonts w:ascii="Arial" w:hAnsi="Arial"/>
          <w:b/>
          <w:i/>
          <w:sz w:val="19"/>
        </w:rPr>
      </w:pPr>
      <w:r>
        <w:rPr>
          <w:rFonts w:ascii="Arial" w:hAnsi="Arial"/>
          <w:b/>
          <w:i/>
          <w:sz w:val="19"/>
        </w:rPr>
        <w:t xml:space="preserve">Impairment of Long-Lived Assets </w:t>
      </w:r>
    </w:p>
    <w:p>
      <w:pPr>
        <w:pStyle w:val="TextBody"/>
        <w:bidi w:val="0"/>
        <w:spacing w:before="40" w:after="0"/>
        <w:jc w:val="left"/>
        <w:rPr>
          <w:rFonts w:ascii="Arial" w:hAnsi="Arial"/>
          <w:sz w:val="19"/>
        </w:rPr>
      </w:pPr>
      <w:r>
        <w:rPr>
          <w:rFonts w:ascii="Arial" w:hAnsi="Arial"/>
          <w:sz w:val="19"/>
        </w:rPr>
        <w:t xml:space="preserve">Long-lived assets are reviewed annually for impairment or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property and equipment and operating lease assets. There has been no impairment of long-lived assets for any of the periods presented. </w:t>
      </w:r>
    </w:p>
    <w:p>
      <w:pPr>
        <w:pStyle w:val="TextBody"/>
        <w:bidi w:val="0"/>
        <w:spacing w:before="80" w:after="0"/>
        <w:jc w:val="left"/>
        <w:rPr>
          <w:rFonts w:ascii="Arial" w:hAnsi="Arial"/>
          <w:b/>
          <w:i/>
          <w:sz w:val="19"/>
        </w:rPr>
      </w:pPr>
      <w:r>
        <w:rPr>
          <w:rFonts w:ascii="Arial" w:hAnsi="Arial"/>
          <w:b/>
          <w:i/>
          <w:sz w:val="19"/>
        </w:rPr>
        <w:t xml:space="preserve">Segment Information </w:t>
      </w:r>
    </w:p>
    <w:p>
      <w:pPr>
        <w:pStyle w:val="TextBody"/>
        <w:bidi w:val="0"/>
        <w:spacing w:before="40" w:after="0"/>
        <w:jc w:val="left"/>
        <w:rPr>
          <w:rFonts w:ascii="Arial" w:hAnsi="Arial"/>
          <w:sz w:val="19"/>
        </w:rPr>
      </w:pPr>
      <w:r>
        <w:rPr>
          <w:rFonts w:ascii="Arial" w:hAnsi="Arial"/>
          <w:sz w:val="19"/>
        </w:rPr>
        <w:t xml:space="preserve">ASC 280, </w:t>
      </w:r>
      <w:r>
        <w:rPr>
          <w:rFonts w:ascii="Arial" w:hAnsi="Arial"/>
          <w:i/>
          <w:sz w:val="19"/>
        </w:rPr>
        <w:t>Segment Reporting</w:t>
      </w:r>
      <w:r>
        <w:rPr>
          <w:rFonts w:ascii="Arial" w:hAnsi="Arial"/>
          <w:sz w:val="19"/>
        </w:rPr>
        <w:t xml:space="preserve">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single operating segment and has one reportable segment. The Company’s CODM is the chief executive officer, who has ultimate responsibility for the operating performance of the Company and the allocation of resources. The Company’s measure of segment profit or loss is net loss on a total company basis. </w:t>
      </w:r>
    </w:p>
    <w:p>
      <w:pPr>
        <w:pStyle w:val="TextBody"/>
        <w:bidi w:val="0"/>
        <w:spacing w:before="80" w:after="0"/>
        <w:jc w:val="left"/>
        <w:rPr>
          <w:rFonts w:ascii="Arial" w:hAnsi="Arial"/>
          <w:b/>
          <w:i/>
          <w:sz w:val="19"/>
        </w:rPr>
      </w:pPr>
      <w:r>
        <w:rPr>
          <w:rFonts w:ascii="Arial" w:hAnsi="Arial"/>
          <w:b/>
          <w:i/>
          <w:sz w:val="19"/>
        </w:rPr>
        <w:t xml:space="preserve">Concentrations of Credit Risk and Off-Balance Sheet Risk </w:t>
      </w:r>
    </w:p>
    <w:p>
      <w:pPr>
        <w:pStyle w:val="TextBody"/>
        <w:bidi w:val="0"/>
        <w:spacing w:before="40" w:after="0"/>
        <w:jc w:val="left"/>
        <w:rPr>
          <w:rFonts w:ascii="Arial" w:hAnsi="Arial"/>
          <w:sz w:val="19"/>
        </w:rPr>
      </w:pPr>
      <w:r>
        <w:rPr>
          <w:rFonts w:ascii="Arial" w:hAnsi="Arial"/>
          <w:sz w:val="19"/>
        </w:rPr>
        <w:t xml:space="preserve">Financial instruments that potentially subject the Company to significant concentrations of credit risk consist primarily of cash equivalents and marketable securities. The Company believes it is not exposed to any significant credit risk related to cash and cash equivalents because the Company places its investments in highly rated institutions. </w:t>
      </w:r>
    </w:p>
    <w:p>
      <w:pPr>
        <w:pStyle w:val="TextBody"/>
        <w:bidi w:val="0"/>
        <w:spacing w:before="180" w:after="0"/>
        <w:jc w:val="left"/>
        <w:rPr>
          <w:rFonts w:ascii="Arial" w:hAnsi="Arial"/>
          <w:sz w:val="19"/>
        </w:rPr>
      </w:pPr>
      <w:r>
        <w:rPr>
          <w:rFonts w:ascii="Arial" w:hAnsi="Arial"/>
          <w:sz w:val="19"/>
        </w:rPr>
        <w:t xml:space="preserve">The Company’s investment policy limits investments to certain types of securities issued by the U.S. government and its agencies, as well as institutions with investment-grade credit ratings and places restrictions on maturities and concentration by investment type and issuer. The Company is exposed to credit risk in the event of a default by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issuers of marketable securities to the extent recorded on the balance sheets. As of December 31, 2025 and 2024, the Company had no off-balance sheet concentrations of credit risk. </w:t>
      </w:r>
    </w:p>
    <w:p>
      <w:pPr>
        <w:pStyle w:val="TextBody"/>
        <w:bidi w:val="0"/>
        <w:spacing w:before="80" w:after="0"/>
        <w:jc w:val="left"/>
        <w:rPr>
          <w:rFonts w:ascii="Arial" w:hAnsi="Arial"/>
          <w:b/>
          <w:i/>
          <w:sz w:val="19"/>
        </w:rPr>
      </w:pPr>
      <w:r>
        <w:rPr>
          <w:rFonts w:ascii="Arial" w:hAnsi="Arial"/>
          <w:b/>
          <w:i/>
          <w:sz w:val="19"/>
        </w:rPr>
        <w:t xml:space="preserve">Fair Value </w:t>
      </w:r>
    </w:p>
    <w:p>
      <w:pPr>
        <w:pStyle w:val="TextBody"/>
        <w:bidi w:val="0"/>
        <w:spacing w:before="40" w:after="0"/>
        <w:jc w:val="left"/>
        <w:rPr>
          <w:rFonts w:ascii="Arial" w:hAnsi="Arial"/>
          <w:sz w:val="19"/>
        </w:rPr>
      </w:pPr>
      <w:r>
        <w:rPr>
          <w:rFonts w:ascii="Arial" w:hAnsi="Arial"/>
          <w:sz w:val="19"/>
        </w:rPr>
        <w:t xml:space="preserve">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w:t>
      </w:r>
    </w:p>
    <w:p>
      <w:pPr>
        <w:pStyle w:val="TextBody"/>
        <w:bidi w:val="0"/>
        <w:spacing w:before="180" w:after="0"/>
        <w:jc w:val="left"/>
        <w:rPr>
          <w:rFonts w:ascii="Arial" w:hAnsi="Arial"/>
          <w:sz w:val="19"/>
        </w:rPr>
      </w:pPr>
      <w:r>
        <w:rPr>
          <w:rFonts w:ascii="Arial" w:hAnsi="Arial"/>
          <w:sz w:val="19"/>
        </w:rPr>
        <w:t xml:space="preserve">Fair value is measured based on a three-level hierarchy of inputs, of which the first two are considered observable and the last unobservable. Unobservable inputs reflect the Company’s assumptions about current market conditions. The use of observable inputs is maximized, where available, and the use of unobservable inputs is minimized when measuring fair value. The three-level hierarchy of inputs is as follows: </w:t>
      </w:r>
    </w:p>
    <w:p>
      <w:pPr>
        <w:pStyle w:val="TextBody"/>
        <w:bidi w:val="0"/>
        <w:spacing w:before="120" w:after="0"/>
        <w:jc w:val="left"/>
        <w:rPr>
          <w:rFonts w:ascii="Arial" w:hAnsi="Arial"/>
          <w:sz w:val="19"/>
        </w:rPr>
      </w:pPr>
      <w:r>
        <w:rPr>
          <w:rFonts w:ascii="Arial" w:hAnsi="Arial"/>
          <w:sz w:val="19"/>
        </w:rPr>
        <w:t xml:space="preserve">Level 1 – Inputs are unadjusted quoted prices in active markets for identical assets or liabilities at the measurement date; </w:t>
      </w:r>
    </w:p>
    <w:p>
      <w:pPr>
        <w:pStyle w:val="TextBody"/>
        <w:bidi w:val="0"/>
        <w:spacing w:before="180" w:after="0"/>
        <w:jc w:val="left"/>
        <w:rPr>
          <w:rFonts w:ascii="Arial" w:hAnsi="Arial"/>
          <w:sz w:val="19"/>
        </w:rPr>
      </w:pPr>
      <w:r>
        <w:rPr>
          <w:rFonts w:ascii="Arial" w:hAnsi="Arial"/>
          <w:sz w:val="19"/>
        </w:rPr>
        <w:t xml:space="preserve">Level 2 – Inputs are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 </w:t>
      </w:r>
    </w:p>
    <w:p>
      <w:pPr>
        <w:pStyle w:val="TextBody"/>
        <w:bidi w:val="0"/>
        <w:spacing w:before="180" w:after="0"/>
        <w:jc w:val="left"/>
        <w:rPr>
          <w:rFonts w:ascii="Arial" w:hAnsi="Arial"/>
          <w:sz w:val="19"/>
        </w:rPr>
      </w:pPr>
      <w:r>
        <w:rPr>
          <w:rFonts w:ascii="Arial" w:hAnsi="Arial"/>
          <w:sz w:val="19"/>
        </w:rPr>
        <w:t xml:space="preserve">Level 3 – Unobservable inputs that are significant to measuring the fair value of the assets or liabilities supported by little or no market data. </w:t>
      </w:r>
    </w:p>
    <w:p>
      <w:pPr>
        <w:pStyle w:val="TextBody"/>
        <w:bidi w:val="0"/>
        <w:spacing w:before="180" w:after="0"/>
        <w:jc w:val="left"/>
        <w:rPr>
          <w:rFonts w:ascii="Arial" w:hAnsi="Arial"/>
          <w:sz w:val="19"/>
        </w:rPr>
      </w:pPr>
      <w:r>
        <w:rPr>
          <w:rFonts w:ascii="Arial" w:hAnsi="Arial"/>
          <w:sz w:val="19"/>
        </w:rPr>
        <w:t xml:space="preserve">To the extent that the valuation is based on models or inputs that are less observable or unobservable in the market, determining fair value requires judgment. Accordingly, the degree of judgment exercised in determining fair value is greatest for instruments categorized in Level 3. A financial instrument’s level within the fair value hierarchy is based on the lowest level of any input that is significant to the fair value measurement. </w:t>
      </w:r>
    </w:p>
    <w:p>
      <w:pPr>
        <w:pStyle w:val="TextBody"/>
        <w:bidi w:val="0"/>
        <w:spacing w:before="180" w:after="0"/>
        <w:jc w:val="left"/>
        <w:rPr>
          <w:rFonts w:ascii="Arial" w:hAnsi="Arial"/>
          <w:sz w:val="19"/>
        </w:rPr>
      </w:pPr>
      <w:r>
        <w:rPr>
          <w:rFonts w:ascii="Arial" w:hAnsi="Arial"/>
          <w:sz w:val="19"/>
        </w:rPr>
        <w:t xml:space="preserve">The carrying amounts reflected in the balance sheet for cash, other receivables, prepaid expenses, accounts payable and accrued liabilities approximate their fair values due to the short-term nature of these assets and liabilities. </w:t>
      </w:r>
    </w:p>
    <w:p>
      <w:pPr>
        <w:pStyle w:val="TextBody"/>
        <w:bidi w:val="0"/>
        <w:spacing w:before="80" w:after="0"/>
        <w:jc w:val="left"/>
        <w:rPr>
          <w:rFonts w:ascii="Arial" w:hAnsi="Arial"/>
          <w:b/>
          <w:i/>
          <w:sz w:val="19"/>
        </w:rPr>
      </w:pPr>
      <w:r>
        <w:rPr>
          <w:rFonts w:ascii="Arial" w:hAnsi="Arial"/>
          <w:b/>
          <w:i/>
          <w:sz w:val="19"/>
        </w:rPr>
        <w:t xml:space="preserve">Research and Development Expenses </w:t>
      </w:r>
    </w:p>
    <w:p>
      <w:pPr>
        <w:pStyle w:val="TextBody"/>
        <w:bidi w:val="0"/>
        <w:spacing w:before="40" w:after="0"/>
        <w:jc w:val="left"/>
        <w:rPr>
          <w:rFonts w:ascii="Arial" w:hAnsi="Arial"/>
          <w:sz w:val="19"/>
        </w:rPr>
      </w:pPr>
      <w:r>
        <w:rPr>
          <w:rFonts w:ascii="Arial" w:hAnsi="Arial"/>
          <w:sz w:val="19"/>
        </w:rPr>
        <w:t xml:space="preserve">Research and development costs are expensed as incurred. Research and development expenses consist of costs incurred in connection with the development of the Company’s nonclinical and clinical product candidates. Research and development expenses consist of: </w:t>
      </w:r>
    </w:p>
    <w:p>
      <w:pPr>
        <w:pStyle w:val="TextBody"/>
        <w:bidi w:val="0"/>
        <w:spacing w:before="180" w:after="0"/>
        <w:jc w:val="left"/>
        <w:rPr>
          <w:rFonts w:ascii="Arial" w:hAnsi="Arial"/>
          <w:sz w:val="19"/>
        </w:rPr>
      </w:pPr>
      <w:r>
        <w:rPr>
          <w:rFonts w:ascii="Arial" w:hAnsi="Arial"/>
          <w:sz w:val="19"/>
        </w:rPr>
        <w:t xml:space="preserve">Direct program costs – including expenses incurred under agreements with consultants and third-party contract organizations that conduct research and development activities; costs related to the production of preclinical and clinical materials related to current or future product candidates paid to contract manufacturers; laboratory testing and other expenses related to the execution of nonclinical studies and clinical trials; and third-party license fees, including any milestone-based payments. </w:t>
      </w:r>
    </w:p>
    <w:p>
      <w:pPr>
        <w:pStyle w:val="TextBody"/>
        <w:bidi w:val="0"/>
        <w:spacing w:before="180" w:after="0"/>
        <w:jc w:val="left"/>
        <w:rPr>
          <w:rFonts w:ascii="Arial" w:hAnsi="Arial"/>
          <w:sz w:val="19"/>
        </w:rPr>
      </w:pPr>
      <w:r>
        <w:rPr>
          <w:rFonts w:ascii="Arial" w:hAnsi="Arial"/>
          <w:sz w:val="19"/>
        </w:rPr>
        <w:t xml:space="preserve">Unallocated costs – including personnel-related costs, such as salaries, benefits and stock-based compensation for employees engaged in research and development activities; and facility-related, costs not directly tied to a program, including rent, facility-related overhead, depreciation expense, expenses related to regulatory compliance and requirements, laboratory operations, information technology-related expenses, and other supplies and services. </w:t>
      </w:r>
    </w:p>
    <w:p>
      <w:pPr>
        <w:pStyle w:val="TextBody"/>
        <w:bidi w:val="0"/>
        <w:spacing w:before="180" w:after="0"/>
        <w:jc w:val="left"/>
        <w:rPr>
          <w:rFonts w:ascii="Arial" w:hAnsi="Arial"/>
          <w:sz w:val="19"/>
        </w:rPr>
      </w:pPr>
      <w:r>
        <w:rPr>
          <w:rFonts w:ascii="Arial" w:hAnsi="Arial"/>
          <w:sz w:val="19"/>
        </w:rPr>
        <w:t xml:space="preserve">Payments made prior to the receipt of goods and services to be used in research and development are deferred and recognized as expenses in the period in which the related goods are received or services are rendered. Certain prepaid amounts are classified as long-term based on contractual terms and conditions. In-licensing fees and other costs to acquire technologies used in research and development that have not yet received regulatory approval and that are not expected to have an alternative future use are expensed when incurred. </w:t>
      </w:r>
    </w:p>
    <w:p>
      <w:pPr>
        <w:pStyle w:val="TextBody"/>
        <w:bidi w:val="0"/>
        <w:spacing w:before="180" w:after="0"/>
        <w:jc w:val="left"/>
        <w:rPr>
          <w:rFonts w:ascii="Arial" w:hAnsi="Arial"/>
          <w:sz w:val="19"/>
        </w:rPr>
      </w:pPr>
      <w:r>
        <w:rPr>
          <w:rFonts w:ascii="Arial" w:hAnsi="Arial"/>
          <w:sz w:val="19"/>
        </w:rPr>
        <w:t xml:space="preserve">The Company has entered into agreements with outsourced contract manufacturing and development and clinical research vendors. The Company estimates accrued research and development expenses as of each balance sheet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date based on facts and circumstances known at that time. The Company periodically confirms the accuracy of its estimates with internal management personnel and external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In February 2022, the Company adopted the 2022 Stock Plan as an equity incentive program under which employees, non-employees and consultants of the Company may be offered the opportunity to acquire shares of the Company’s common stock. The Company’s stock-based compensation includes stock options issued under the 2022 Stock Plan and profits interest units which were granted under Electra Therapeutics LLC’s 2023 Equity Incentive Plan (the “Electra LLC Plan”). </w:t>
      </w:r>
    </w:p>
    <w:p>
      <w:pPr>
        <w:pStyle w:val="TextBody"/>
        <w:bidi w:val="0"/>
        <w:spacing w:before="180" w:after="0"/>
        <w:jc w:val="left"/>
        <w:rPr>
          <w:rFonts w:ascii="Arial" w:hAnsi="Arial"/>
          <w:sz w:val="19"/>
        </w:rPr>
      </w:pPr>
      <w:r>
        <w:rPr>
          <w:rFonts w:ascii="Arial" w:hAnsi="Arial"/>
          <w:sz w:val="19"/>
        </w:rPr>
        <w:t xml:space="preserve">The Company accounts for stock-based compensation in accordance with ASC 718, </w:t>
      </w:r>
      <w:r>
        <w:rPr>
          <w:rFonts w:ascii="Arial" w:hAnsi="Arial"/>
          <w:i/>
          <w:sz w:val="19"/>
        </w:rPr>
        <w:t>Compensation-Stock Compensation</w:t>
      </w:r>
      <w:r>
        <w:rPr>
          <w:rFonts w:ascii="Arial" w:hAnsi="Arial"/>
          <w:sz w:val="19"/>
        </w:rPr>
        <w:t xml:space="preserve"> (“ASC 718”). The Company measures compensation expense for all stock-based payment awards for stock options and profits interest units granted to employees and non-employees based on the estimated fair values on the date of the grant which is then recorded straight-line over the requisite service period, generally the vesting period, for the entire award. Expense is adjusted for actual forfeitures of unvested awards as they occur. Fair values of the stock options were determined using the Black-Scholes option pricing model. Management determined the fair value of the awards with the assistance of third-party valuation specialists which determined the common stock value of the Company as an input into the Black-Scholes option pricing method. </w:t>
      </w:r>
    </w:p>
    <w:p>
      <w:pPr>
        <w:pStyle w:val="TextBody"/>
        <w:bidi w:val="0"/>
        <w:spacing w:before="80" w:after="0"/>
        <w:jc w:val="left"/>
        <w:rPr>
          <w:rFonts w:ascii="Arial" w:hAnsi="Arial"/>
          <w:b/>
          <w:i/>
          <w:sz w:val="19"/>
        </w:rPr>
      </w:pPr>
      <w:r>
        <w:rPr>
          <w:rFonts w:ascii="Arial" w:hAnsi="Arial"/>
          <w:b/>
          <w:i/>
          <w:sz w:val="19"/>
        </w:rPr>
        <w:t xml:space="preserve">Net Loss Per Share </w:t>
      </w:r>
    </w:p>
    <w:p>
      <w:pPr>
        <w:pStyle w:val="TextBody"/>
        <w:bidi w:val="0"/>
        <w:spacing w:before="40" w:after="0"/>
        <w:jc w:val="left"/>
        <w:rPr>
          <w:rFonts w:ascii="Arial" w:hAnsi="Arial"/>
          <w:sz w:val="19"/>
        </w:rPr>
      </w:pPr>
      <w:r>
        <w:rPr>
          <w:rFonts w:ascii="Arial" w:hAnsi="Arial"/>
          <w:sz w:val="19"/>
        </w:rPr>
        <w:t xml:space="preserve">Basic and diluted net loss per common share is presented in conformity with ASC 260, </w:t>
      </w:r>
      <w:r>
        <w:rPr>
          <w:rFonts w:ascii="Arial" w:hAnsi="Arial"/>
          <w:i/>
          <w:sz w:val="19"/>
        </w:rPr>
        <w:t>Earnings Per Share</w:t>
      </w:r>
      <w:r>
        <w:rPr>
          <w:rFonts w:ascii="Arial" w:hAnsi="Arial"/>
          <w:sz w:val="19"/>
        </w:rPr>
        <w:t xml:space="preserve">. The two-class method determines net loss per share for each class of common and participating securities according to dividends declared or accumulated and participation rights in undistributed earnings. The two-class method requires losses available to common stockholders for the period to be allocated between common and participating securities based upon their respective rights to share in the undistributed earnings as if all losses for the period had been distributed. The Company’s participating securities contractually entitled the holders of such shares to participate in dividends but did not contractually require the holders of such shares to participate in losses of the Company. Accordingly, in periods in which the Company reports a net loss attributable to common stockholders, such losses are not allocated to such participating securities. </w:t>
      </w:r>
    </w:p>
    <w:p>
      <w:pPr>
        <w:pStyle w:val="TextBody"/>
        <w:bidi w:val="0"/>
        <w:spacing w:before="180" w:after="0"/>
        <w:jc w:val="left"/>
        <w:rPr>
          <w:rFonts w:ascii="Arial" w:hAnsi="Arial"/>
          <w:sz w:val="19"/>
        </w:rPr>
      </w:pPr>
      <w:r>
        <w:rPr>
          <w:rFonts w:ascii="Arial" w:hAnsi="Arial"/>
          <w:sz w:val="19"/>
        </w:rPr>
        <w:t xml:space="preserve">Basic net loss per share is computed by dividing net loss attributed to common stockholders by the weighted-average number of common shares outstanding. Diluted loss per share is computed by giving effect to all potentially dilutive securities outstanding for the period using the treasury stock method or the if-converted method based on the nature of such securities. </w:t>
      </w:r>
    </w:p>
    <w:p>
      <w:pPr>
        <w:pStyle w:val="TextBody"/>
        <w:bidi w:val="0"/>
        <w:spacing w:before="180" w:after="0"/>
        <w:jc w:val="left"/>
        <w:rPr>
          <w:rFonts w:ascii="Arial" w:hAnsi="Arial"/>
          <w:sz w:val="19"/>
        </w:rPr>
      </w:pPr>
      <w:r>
        <w:rPr>
          <w:rFonts w:ascii="Arial" w:hAnsi="Arial"/>
          <w:sz w:val="19"/>
        </w:rPr>
        <w:t xml:space="preserve">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 </w:t>
      </w:r>
    </w:p>
    <w:p>
      <w:pPr>
        <w:pStyle w:val="TextBody"/>
        <w:bidi w:val="0"/>
        <w:spacing w:before="80" w:after="0"/>
        <w:jc w:val="left"/>
        <w:rPr>
          <w:rFonts w:ascii="Arial" w:hAnsi="Arial"/>
          <w:b/>
          <w:i/>
          <w:sz w:val="19"/>
        </w:rPr>
      </w:pPr>
      <w:r>
        <w:rPr>
          <w:rFonts w:ascii="Arial" w:hAnsi="Arial"/>
          <w:b/>
          <w:i/>
          <w:sz w:val="19"/>
        </w:rPr>
        <w:t xml:space="preserve">Income Taxes </w:t>
      </w:r>
    </w:p>
    <w:p>
      <w:pPr>
        <w:pStyle w:val="TextBody"/>
        <w:bidi w:val="0"/>
        <w:spacing w:before="40" w:after="0"/>
        <w:jc w:val="left"/>
        <w:rPr>
          <w:rFonts w:ascii="Arial" w:hAnsi="Arial"/>
          <w:sz w:val="19"/>
        </w:rPr>
      </w:pPr>
      <w:r>
        <w:rPr>
          <w:rFonts w:ascii="Arial" w:hAnsi="Arial"/>
          <w:sz w:val="19"/>
        </w:rPr>
        <w:t xml:space="preserve">Income taxes are accounted for under the liability method. Deferred tax assets and liabilities are recognized based on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when those temporary differences are expected to be recovered or settled. The effect on deferred tax assets and liabilities of a change in tax rates is recognized in the period such tax rate changes are enacted. </w:t>
      </w:r>
    </w:p>
    <w:p>
      <w:pPr>
        <w:pStyle w:val="TextBody"/>
        <w:bidi w:val="0"/>
        <w:spacing w:before="180" w:after="0"/>
        <w:jc w:val="left"/>
        <w:rPr>
          <w:rFonts w:ascii="Arial" w:hAnsi="Arial"/>
          <w:sz w:val="19"/>
        </w:rPr>
      </w:pPr>
      <w:r>
        <w:rPr>
          <w:rFonts w:ascii="Arial" w:hAnsi="Arial"/>
          <w:sz w:val="19"/>
        </w:rPr>
        <w:t xml:space="preserve">The Company records reserves for potential payments of taxes to various tax authorities related to uncertain tax positions. Amounts recognized are based on a determination of whether a tax benefit taken by the Company in its tax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filings or positions is “more likely than not” to be sustained on audit. The amount recognized is equal to the largest amount that is more than 50% likely to be sustained. Interest and penalties associated with uncertain tax positions are recorded as a component of income tax expense. </w:t>
      </w:r>
    </w:p>
    <w:p>
      <w:pPr>
        <w:pStyle w:val="TextBody"/>
        <w:bidi w:val="0"/>
        <w:spacing w:before="80" w:after="0"/>
        <w:jc w:val="left"/>
        <w:rPr>
          <w:rFonts w:ascii="Arial" w:hAnsi="Arial"/>
          <w:b/>
          <w:i/>
          <w:sz w:val="19"/>
        </w:rPr>
      </w:pPr>
      <w:r>
        <w:rPr>
          <w:rFonts w:ascii="Arial" w:hAnsi="Arial"/>
          <w:b/>
          <w:i/>
          <w:sz w:val="19"/>
        </w:rPr>
        <w:t xml:space="preserve">Comprehensive Loss </w:t>
      </w:r>
    </w:p>
    <w:p>
      <w:pPr>
        <w:pStyle w:val="TextBody"/>
        <w:bidi w:val="0"/>
        <w:spacing w:before="40" w:after="0"/>
        <w:jc w:val="left"/>
        <w:rPr>
          <w:rFonts w:ascii="Arial" w:hAnsi="Arial"/>
          <w:sz w:val="19"/>
        </w:rPr>
      </w:pPr>
      <w:r>
        <w:rPr>
          <w:rFonts w:ascii="Arial" w:hAnsi="Arial"/>
          <w:sz w:val="19"/>
        </w:rPr>
        <w:t xml:space="preserve">Comprehensive loss includes net loss as well as other changes in stockholders’ deficit that result from transactions and economic events other than those with stockholders. The Company’s other comprehensive income (loss) is composed solely of unrealized gains or losses on marketable securities. </w:t>
      </w:r>
    </w:p>
    <w:p>
      <w:pPr>
        <w:pStyle w:val="TextBody"/>
        <w:bidi w:val="0"/>
        <w:spacing w:before="80" w:after="0"/>
        <w:jc w:val="left"/>
        <w:rPr>
          <w:rFonts w:ascii="Arial" w:hAnsi="Arial"/>
          <w:b/>
          <w:i/>
          <w:sz w:val="19"/>
        </w:rPr>
      </w:pPr>
      <w:r>
        <w:rPr>
          <w:rFonts w:ascii="Arial" w:hAnsi="Arial"/>
          <w:b/>
          <w:i/>
          <w:sz w:val="19"/>
        </w:rPr>
        <w:t xml:space="preserve">Emerging Growth Company Status </w:t>
      </w:r>
    </w:p>
    <w:p>
      <w:pPr>
        <w:pStyle w:val="TextBody"/>
        <w:bidi w:val="0"/>
        <w:spacing w:before="40" w:after="0"/>
        <w:jc w:val="left"/>
        <w:rPr>
          <w:rFonts w:ascii="Arial" w:hAnsi="Arial"/>
          <w:sz w:val="19"/>
        </w:rPr>
      </w:pPr>
      <w:r>
        <w:rPr>
          <w:rFonts w:ascii="Arial" w:hAnsi="Arial"/>
          <w:sz w:val="19"/>
        </w:rPr>
        <w:t xml:space="preserve">The Company is an emerging growth company, as defined in the Jumpstart Our Business Startups Act (“JOBS Act”). The JOBS Act provides that an “emerging growth company” can take advantage of an extended transition period for complying with new or revised accounting standards. The Company has elected not to “opt out” of such extended transition period, which means that when a standard is issued or revised and it has different application dates for public or private companies, the Company can adopt the new or revised standard at the time private companies adopt the new or revised standard and may do so until such time that the Company either (1) irrevocably elects to “opt out” of such extended transition period or (2) no longer qualifies as an emerging growth company. As a result, these financial statements may not be comparable to companies that comply with the new or revised accounting pronouncements as of public company effective dates. </w:t>
      </w:r>
    </w:p>
    <w:p>
      <w:pPr>
        <w:pStyle w:val="TextBody"/>
        <w:bidi w:val="0"/>
        <w:spacing w:before="80" w:after="0"/>
        <w:jc w:val="left"/>
        <w:rPr>
          <w:rFonts w:ascii="Arial" w:hAnsi="Arial"/>
          <w:b/>
          <w:i/>
          <w:sz w:val="19"/>
        </w:rPr>
      </w:pPr>
      <w:r>
        <w:rPr>
          <w:rFonts w:ascii="Arial" w:hAnsi="Arial"/>
          <w:b/>
          <w:i/>
          <w:sz w:val="19"/>
        </w:rPr>
        <w:t xml:space="preserve">Recently Adopted Accounting Pronouncements </w:t>
      </w:r>
    </w:p>
    <w:p>
      <w:pPr>
        <w:pStyle w:val="TextBody"/>
        <w:bidi w:val="0"/>
        <w:spacing w:before="40" w:after="0"/>
        <w:jc w:val="left"/>
        <w:rPr>
          <w:rFonts w:ascii="Arial" w:hAnsi="Arial"/>
          <w:sz w:val="19"/>
        </w:rPr>
      </w:pPr>
      <w:r>
        <w:rPr>
          <w:rFonts w:ascii="Arial" w:hAnsi="Arial"/>
          <w:sz w:val="19"/>
        </w:rPr>
        <w:t xml:space="preserve">In December 2023, the FASB issued a final standard on improvements to income tax disclosures, ASU 2023-09, </w:t>
      </w:r>
      <w:r>
        <w:rPr>
          <w:rFonts w:ascii="Arial" w:hAnsi="Arial"/>
          <w:i/>
          <w:sz w:val="19"/>
        </w:rPr>
        <w:t xml:space="preserve">Improvements to Income Tax Disclosures </w:t>
      </w:r>
      <w:r>
        <w:rPr>
          <w:rFonts w:ascii="Arial" w:hAnsi="Arial"/>
          <w:sz w:val="19"/>
        </w:rPr>
        <w:t xml:space="preserve">(“ASU 2023-09”).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This standard is effective for fiscal years beginning after December 15, 2024, and requires prospective application with the option to apply it retrospectively. The Company early adopted ASU 2023-09 on January 1, 2025 and applied the disclosure requirements on a retrospective basis. The early adoption did not have a material impact on the Company’s financial statements or disclosures. </w:t>
      </w:r>
    </w:p>
    <w:p>
      <w:pPr>
        <w:pStyle w:val="TextBody"/>
        <w:bidi w:val="0"/>
        <w:spacing w:before="180" w:after="0"/>
        <w:jc w:val="left"/>
        <w:rPr>
          <w:rFonts w:ascii="Arial" w:hAnsi="Arial"/>
          <w:sz w:val="19"/>
        </w:rPr>
      </w:pPr>
      <w:r>
        <w:rPr>
          <w:rFonts w:ascii="Arial" w:hAnsi="Arial"/>
          <w:sz w:val="19"/>
        </w:rPr>
        <w:t xml:space="preserve">In March 2024, the FASB issued ASU 2024-01, </w:t>
      </w:r>
      <w:r>
        <w:rPr>
          <w:rFonts w:ascii="Arial" w:hAnsi="Arial"/>
          <w:i/>
          <w:sz w:val="19"/>
        </w:rPr>
        <w:t>Compensation –</w:t>
      </w:r>
      <w:r>
        <w:rPr>
          <w:rFonts w:ascii="Arial" w:hAnsi="Arial"/>
          <w:sz w:val="19"/>
        </w:rPr>
        <w:t> </w:t>
      </w:r>
      <w:r>
        <w:rPr>
          <w:rFonts w:ascii="Arial" w:hAnsi="Arial"/>
          <w:i/>
          <w:sz w:val="19"/>
        </w:rPr>
        <w:t xml:space="preserve">Stock Compensation (Topic 718): Scope Application of Profits Interest and Similar Awards </w:t>
      </w:r>
      <w:r>
        <w:rPr>
          <w:rFonts w:ascii="Arial" w:hAnsi="Arial"/>
          <w:sz w:val="19"/>
        </w:rPr>
        <w:t xml:space="preserve">(“ASU 2024-01”), which provides illustrative guidance to help entities determine whether profits interest and similar awards should be accounted for as share-based payment arrangements under Topic 718. The standard is effective for fiscal years beginning after December 15, 2024 and interim periods within those fiscal years. The Company early adopted ASU 2024-01 on January 1, 2025. The early adoption of this standard did not have a material impact on the Company’s financial statements or disclosures. </w:t>
      </w:r>
    </w:p>
    <w:p>
      <w:pPr>
        <w:pStyle w:val="TextBody"/>
        <w:bidi w:val="0"/>
        <w:spacing w:before="80" w:after="0"/>
        <w:jc w:val="left"/>
        <w:rPr>
          <w:rFonts w:ascii="Arial" w:hAnsi="Arial"/>
          <w:b/>
          <w:i/>
          <w:sz w:val="19"/>
        </w:rPr>
      </w:pPr>
      <w:r>
        <w:rPr>
          <w:rFonts w:ascii="Arial" w:hAnsi="Arial"/>
          <w:b/>
          <w:i/>
          <w:sz w:val="19"/>
        </w:rPr>
        <w:t xml:space="preserve">Recently Issued Accounting Pronouncements </w:t>
      </w:r>
    </w:p>
    <w:p>
      <w:pPr>
        <w:pStyle w:val="TextBody"/>
        <w:bidi w:val="0"/>
        <w:spacing w:before="40" w:after="0"/>
        <w:jc w:val="left"/>
        <w:rPr>
          <w:rFonts w:ascii="Arial" w:hAnsi="Arial"/>
          <w:sz w:val="19"/>
        </w:rPr>
      </w:pPr>
      <w:r>
        <w:rPr>
          <w:rFonts w:ascii="Arial" w:hAnsi="Arial"/>
          <w:sz w:val="19"/>
        </w:rPr>
        <w:t xml:space="preserve">In November 2024, the FASB issued ASU 2024-03, </w:t>
      </w:r>
      <w:r>
        <w:rPr>
          <w:rFonts w:ascii="Arial" w:hAnsi="Arial"/>
          <w:i/>
          <w:sz w:val="19"/>
        </w:rPr>
        <w:t xml:space="preserve">Income Statement-Reporting Comprehensive Income-Expense Disaggregation Disclosures (Subtopic 220-40): Disaggregation of Income Statement Expenses </w:t>
      </w:r>
      <w:r>
        <w:rPr>
          <w:rFonts w:ascii="Arial" w:hAnsi="Arial"/>
          <w:sz w:val="19"/>
        </w:rPr>
        <w:t xml:space="preserve">(“ASU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240" w:after="0"/>
        <w:jc w:val="left"/>
        <w:rPr>
          <w:rFonts w:ascii="Arial" w:hAnsi="Arial"/>
          <w:b/>
          <w:sz w:val="20"/>
        </w:rPr>
      </w:pPr>
      <w:r>
        <w:rPr>
          <w:rFonts w:ascii="Arial" w:hAnsi="Arial"/>
          <w:b/>
          <w:sz w:val="20"/>
        </w:rPr>
        <w:t xml:space="preserve">3. Related Party Transactions </w:t>
      </w:r>
    </w:p>
    <w:p>
      <w:pPr>
        <w:pStyle w:val="TextBody"/>
        <w:bidi w:val="0"/>
        <w:spacing w:before="40" w:after="0"/>
        <w:jc w:val="left"/>
        <w:rPr>
          <w:rFonts w:ascii="Arial" w:hAnsi="Arial"/>
          <w:b/>
          <w:i/>
          <w:sz w:val="19"/>
        </w:rPr>
      </w:pPr>
      <w:r>
        <w:rPr>
          <w:rFonts w:ascii="Arial" w:hAnsi="Arial"/>
          <w:b/>
          <w:i/>
          <w:sz w:val="19"/>
        </w:rPr>
        <w:t xml:space="preserve">Intercompany Services Agreements with Star Therapeutics, Inc. </w:t>
      </w:r>
    </w:p>
    <w:p>
      <w:pPr>
        <w:pStyle w:val="TextBody"/>
        <w:bidi w:val="0"/>
        <w:spacing w:before="40" w:after="0"/>
        <w:jc w:val="left"/>
        <w:rPr>
          <w:rFonts w:ascii="Arial" w:hAnsi="Arial"/>
          <w:sz w:val="19"/>
        </w:rPr>
      </w:pPr>
      <w:r>
        <w:rPr>
          <w:rFonts w:ascii="Arial" w:hAnsi="Arial"/>
          <w:sz w:val="19"/>
        </w:rPr>
        <w:t xml:space="preserve">Prior to January 1, 2024, the Company did not have any employees. The Company’s operations were conducted by employees of Star Therapeutics, Inc. (“Star Inc.”), a subsidiary of Star Therapeutics LLC (“Star LLC”). Star LLC was Electra’s parent company through June 2023. These related party transactions were governed by the Mutual Intercompany Services Agreements (“ISA”) between the Company and Star Inc., through its termination on October 31, 2025. Per the ISA, the Company bore all expenses incurred by Star Inc. in performing its duties in accordance with the agreements and in managing and operating the businesses of Electra with a minimal mark-up on expenses. Accordingly, expenses incurred and paid through the affiliated entity’s operating account on behalf of Electra were reimbursed by the Company to Star Inc. Operating expenses incurred by the affiliated entity included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but were not limited to: service provider employee compensation expenses and other related overhead such as rent and general office expenses, utilities, information technology services, insurance, human resource management, taxes and other personnel costs. </w:t>
      </w:r>
    </w:p>
    <w:p>
      <w:pPr>
        <w:pStyle w:val="TextBody"/>
        <w:bidi w:val="0"/>
        <w:spacing w:before="180" w:after="0"/>
        <w:jc w:val="left"/>
        <w:rPr>
          <w:rFonts w:ascii="Arial" w:hAnsi="Arial"/>
          <w:sz w:val="19"/>
        </w:rPr>
      </w:pPr>
      <w:r>
        <w:rPr>
          <w:rFonts w:ascii="Arial" w:hAnsi="Arial"/>
          <w:sz w:val="19"/>
        </w:rPr>
        <w:t xml:space="preserve">For the years ended December 31, 2025 and 2024, the Company incurred expenses under the ISA totaling $1.1 million and $1.8 million, respectively, which were reimbursed by the Company to Star Inc. As of December 31, 2025 and 2024, the Company has outstanding amounts due to Star Inc. of $0 and $0.3 million, respectively. All outstanding accounts payable and accrued liabilities to Star Inc. were fully settled as of December 31, 2025. </w:t>
      </w:r>
    </w:p>
    <w:p>
      <w:pPr>
        <w:pStyle w:val="TextBody"/>
        <w:bidi w:val="0"/>
        <w:spacing w:before="40" w:after="0"/>
        <w:jc w:val="left"/>
        <w:rPr>
          <w:rFonts w:ascii="Arial" w:hAnsi="Arial"/>
          <w:b/>
          <w:i/>
          <w:sz w:val="19"/>
        </w:rPr>
      </w:pPr>
      <w:r>
        <w:rPr>
          <w:rFonts w:ascii="Arial" w:hAnsi="Arial"/>
          <w:b/>
          <w:i/>
          <w:sz w:val="19"/>
        </w:rPr>
        <w:t xml:space="preserve">Convertible Promissory Notes </w:t>
      </w:r>
    </w:p>
    <w:p>
      <w:pPr>
        <w:pStyle w:val="TextBody"/>
        <w:bidi w:val="0"/>
        <w:spacing w:before="40" w:after="0"/>
        <w:jc w:val="left"/>
        <w:rPr>
          <w:rFonts w:ascii="Arial" w:hAnsi="Arial"/>
          <w:sz w:val="19"/>
        </w:rPr>
      </w:pPr>
      <w:r>
        <w:rPr>
          <w:rFonts w:ascii="Arial" w:hAnsi="Arial"/>
          <w:sz w:val="19"/>
        </w:rPr>
        <w:t xml:space="preserve">On March 7, 2025, the Company issued convertible promissory notes with an aggregate principal amount of $20.0 million (the “Initial Notes”) to existing investors of the Company’s redeemable convertible preferred stock. On June 30, 2025, the Company issued additional convertible promissory notes with an aggregate principal amount of $20.0 million (the “Subsequent Notes” and, together with the Initial Notes, the “Notes”) to existing investors of the Company’s redeemable convertible preferred stock. The Notes bore interest at 8% per annum and were scheduled to mature on June 30, 2026. However, on October 15, 2025, the Company completed a qualified preferred stock equity financing through the issuance of Series C redeemable convertible preferred stock (the “Series C Preferred Stock”). In accordance with their original terms, the outstanding principal of the Notes and all accrued and unpaid interest, totaling $41.4 million, automatically converted into 6,121,225 shares of Series C Preferred Stock at a conversion price of $6.7688 per share. The conversion price equaled the cash price per share paid by unrelated third-party investors participating in the Series C Preferred Stock financing. As of December 31, 2025, no convertible promissory notes remained outstanding (see Note 8 – Convertible Notes-Related Party and Note 10 – Redeemable Convertible Preferred Stock). </w:t>
      </w:r>
    </w:p>
    <w:p>
      <w:pPr>
        <w:pStyle w:val="TextBody"/>
        <w:bidi w:val="0"/>
        <w:spacing w:before="240" w:after="0"/>
        <w:jc w:val="left"/>
        <w:rPr>
          <w:rFonts w:ascii="Arial" w:hAnsi="Arial"/>
          <w:b/>
          <w:sz w:val="20"/>
        </w:rPr>
      </w:pPr>
      <w:r>
        <w:rPr>
          <w:rFonts w:ascii="Arial" w:hAnsi="Arial"/>
          <w:b/>
          <w:sz w:val="20"/>
        </w:rPr>
        <w:t xml:space="preserve">4. Fair Value Measurements </w:t>
      </w:r>
    </w:p>
    <w:p>
      <w:pPr>
        <w:pStyle w:val="TextBody"/>
        <w:bidi w:val="0"/>
        <w:spacing w:before="40" w:after="0"/>
        <w:jc w:val="left"/>
        <w:rPr>
          <w:rFonts w:ascii="Arial" w:hAnsi="Arial"/>
          <w:sz w:val="19"/>
        </w:rPr>
      </w:pPr>
      <w:r>
        <w:rPr>
          <w:rFonts w:ascii="Arial" w:hAnsi="Arial"/>
          <w:sz w:val="19"/>
        </w:rPr>
        <w:t xml:space="preserve">On a recurring annual basis, the Company measures certain financial assets and liabilities at fair value, including the Company’s cash equivalents and marketable securities. The following tables summarize the Company’s assets measured at fair value on a recurring basis, by level, within the fair value hierarchy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3"/>
        <w:gridCol w:w="269"/>
        <w:gridCol w:w="193"/>
        <w:gridCol w:w="892"/>
        <w:gridCol w:w="60"/>
        <w:gridCol w:w="269"/>
        <w:gridCol w:w="193"/>
        <w:gridCol w:w="892"/>
        <w:gridCol w:w="60"/>
        <w:gridCol w:w="269"/>
        <w:gridCol w:w="367"/>
        <w:gridCol w:w="689"/>
        <w:gridCol w:w="60"/>
        <w:gridCol w:w="269"/>
        <w:gridCol w:w="192"/>
        <w:gridCol w:w="750"/>
        <w:gridCol w:w="68"/>
      </w:tblGrid>
      <w:tr>
        <w:trPr/>
        <w:tc>
          <w:tcPr>
            <w:tcW w:w="471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155"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713" w:type="dxa"/>
            <w:tcBorders/>
          </w:tcPr>
          <w:p>
            <w:pPr>
              <w:pStyle w:val="TableContents"/>
              <w:bidi w:val="0"/>
              <w:spacing w:before="0" w:after="0"/>
              <w:jc w:val="left"/>
              <w:rPr>
                <w:rFonts w:ascii="Arial" w:hAnsi="Arial"/>
                <w:sz w:val="19"/>
              </w:rPr>
            </w:pPr>
            <w:r>
              <w:rPr>
                <w:rFonts w:ascii="Arial" w:hAnsi="Arial"/>
                <w:sz w:val="19"/>
              </w:rPr>
              <w:t>Money market funds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26,517</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1,998</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3,995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3,995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26,517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5,993</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32,510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5,959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5,959</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29,559</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29,559</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Corporate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9,004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9,004</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U.S. Government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8,988</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8,988</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53,510</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53,510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Total assets measured at fair value</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59,503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86,020</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74"/>
        <w:gridCol w:w="265"/>
        <w:gridCol w:w="212"/>
        <w:gridCol w:w="874"/>
        <w:gridCol w:w="60"/>
        <w:gridCol w:w="265"/>
        <w:gridCol w:w="280"/>
        <w:gridCol w:w="761"/>
        <w:gridCol w:w="60"/>
        <w:gridCol w:w="265"/>
        <w:gridCol w:w="367"/>
        <w:gridCol w:w="689"/>
        <w:gridCol w:w="60"/>
        <w:gridCol w:w="264"/>
        <w:gridCol w:w="195"/>
        <w:gridCol w:w="747"/>
        <w:gridCol w:w="67"/>
      </w:tblGrid>
      <w:tr>
        <w:trPr/>
        <w:tc>
          <w:tcPr>
            <w:tcW w:w="4774"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5099"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2024</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8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Arial" w:hAnsi="Arial"/>
                <w:sz w:val="19"/>
              </w:rPr>
            </w:pPr>
            <w:r>
              <w:rPr>
                <w:rFonts w:ascii="Arial" w:hAnsi="Arial"/>
                <w:sz w:val="19"/>
              </w:rPr>
              <w:t>Money market funds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10,019</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10,019</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10,019</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998</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998</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998</w:t>
            </w:r>
          </w:p>
        </w:tc>
        <w:tc>
          <w:tcPr>
            <w:tcW w:w="67"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Arial" w:hAnsi="Arial"/>
                <w:sz w:val="19"/>
              </w:rPr>
            </w:pPr>
            <w:r>
              <w:rPr>
                <w:rFonts w:ascii="Arial" w:hAnsi="Arial"/>
                <w:sz w:val="19"/>
              </w:rPr>
              <w:t>Total assets measured at fair value</w:t>
            </w:r>
          </w:p>
        </w:tc>
        <w:tc>
          <w:tcPr>
            <w:tcW w:w="265"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11,017</w:t>
            </w:r>
          </w:p>
        </w:tc>
        <w:tc>
          <w:tcPr>
            <w:tcW w:w="67"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Money market funds are included within Level 1 of the fair value hierarchy because they are valued using quoted market prices. Agency discount notes, commercial paper, corporate securities and U.S. government securities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 The Company does not currently have any Level 3 securities, and there were no transfers between Level 2 or 3 during 2025 or 2024. All debt securities are Level 2 and classified as available-for-sale. </w:t>
      </w:r>
    </w:p>
    <w:p>
      <w:pPr>
        <w:pStyle w:val="TextBody"/>
        <w:bidi w:val="0"/>
        <w:spacing w:before="180" w:after="0"/>
        <w:jc w:val="left"/>
        <w:rPr>
          <w:rFonts w:ascii="Arial" w:hAnsi="Arial"/>
          <w:sz w:val="19"/>
        </w:rPr>
      </w:pPr>
      <w:r>
        <w:rPr>
          <w:rFonts w:ascii="Arial" w:hAnsi="Arial"/>
          <w:sz w:val="19"/>
        </w:rPr>
        <w:t xml:space="preserve">As of December 31, 2025 and 2024, the Company had no financial liabilities that required fair value measurement. </w:t>
      </w:r>
    </w:p>
    <w:p>
      <w:pPr>
        <w:pStyle w:val="TextBody"/>
        <w:bidi w:val="0"/>
        <w:spacing w:before="240" w:after="0"/>
        <w:jc w:val="left"/>
        <w:rPr>
          <w:rFonts w:ascii="Arial" w:hAnsi="Arial"/>
          <w:b/>
          <w:sz w:val="20"/>
        </w:rPr>
      </w:pPr>
      <w:r>
        <w:rPr>
          <w:rFonts w:ascii="Arial" w:hAnsi="Arial"/>
          <w:b/>
          <w:sz w:val="20"/>
        </w:rPr>
        <w:t xml:space="preserve">5. Marketable Securities </w:t>
      </w:r>
    </w:p>
    <w:p>
      <w:pPr>
        <w:pStyle w:val="TextBody"/>
        <w:bidi w:val="0"/>
        <w:spacing w:before="40" w:after="0"/>
        <w:jc w:val="left"/>
        <w:rPr>
          <w:rFonts w:ascii="Arial" w:hAnsi="Arial"/>
          <w:sz w:val="19"/>
        </w:rPr>
      </w:pPr>
      <w:r>
        <w:rPr>
          <w:rFonts w:ascii="Arial" w:hAnsi="Arial"/>
          <w:sz w:val="19"/>
        </w:rPr>
        <w:t xml:space="preserve">The following tables summarize the amortized cost and the unrealized gains (losses) of the marketable securities presented within marketable securities and cash equivalents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4"/>
        <w:gridCol w:w="258"/>
        <w:gridCol w:w="264"/>
        <w:gridCol w:w="1305"/>
        <w:gridCol w:w="60"/>
        <w:gridCol w:w="258"/>
        <w:gridCol w:w="584"/>
        <w:gridCol w:w="1089"/>
        <w:gridCol w:w="60"/>
        <w:gridCol w:w="258"/>
        <w:gridCol w:w="584"/>
        <w:gridCol w:w="1089"/>
        <w:gridCol w:w="60"/>
        <w:gridCol w:w="257"/>
        <w:gridCol w:w="264"/>
        <w:gridCol w:w="1305"/>
        <w:gridCol w:w="66"/>
      </w:tblGrid>
      <w:tr>
        <w:trPr/>
        <w:tc>
          <w:tcPr>
            <w:tcW w:w="2444"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7437"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AS OF DECEMBER 31, 2025</w:t>
            </w:r>
          </w:p>
        </w:tc>
        <w:tc>
          <w:tcPr>
            <w:tcW w:w="66" w:type="dxa"/>
            <w:tcBorders/>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GAIN</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(LOSS)</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44"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7,955</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7,957</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33,546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33,554</w:t>
            </w:r>
          </w:p>
        </w:tc>
        <w:tc>
          <w:tcPr>
            <w:tcW w:w="66" w:type="dxa"/>
            <w:tcBorders/>
            <w:shd w:fill="CCEEFF" w:val="clear"/>
            <w:vAlign w:val="bottom"/>
          </w:tcPr>
          <w:p>
            <w:pPr>
              <w:pStyle w:val="TableContents"/>
              <w:bidi w:val="0"/>
              <w:spacing w:before="0" w:after="283"/>
              <w:jc w:val="left"/>
              <w:rPr/>
            </w:pPr>
            <w:r>
              <w:rPr/>
              <w:t> </w:t>
            </w:r>
          </w:p>
        </w:tc>
      </w:tr>
      <w:tr>
        <w:trPr/>
        <w:tc>
          <w:tcPr>
            <w:tcW w:w="2444" w:type="dxa"/>
            <w:tcBorders/>
          </w:tcPr>
          <w:p>
            <w:pPr>
              <w:pStyle w:val="TableContents"/>
              <w:bidi w:val="0"/>
              <w:spacing w:before="0" w:after="0"/>
              <w:jc w:val="left"/>
              <w:rPr>
                <w:rFonts w:ascii="Arial" w:hAnsi="Arial"/>
                <w:sz w:val="19"/>
              </w:rPr>
            </w:pPr>
            <w:r>
              <w:rPr>
                <w:rFonts w:ascii="Arial" w:hAnsi="Arial"/>
                <w:sz w:val="19"/>
              </w:rPr>
              <w:t>Corporate securities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9,004</w:t>
            </w:r>
          </w:p>
        </w:tc>
        <w:tc>
          <w:tcPr>
            <w:tcW w:w="66" w:type="dxa"/>
            <w:tcBorders/>
            <w:vAlign w:val="bottom"/>
          </w:tcPr>
          <w:p>
            <w:pPr>
              <w:pStyle w:val="TableContents"/>
              <w:bidi w:val="0"/>
              <w:spacing w:before="0" w:after="283"/>
              <w:jc w:val="left"/>
              <w:rPr/>
            </w:pPr>
            <w:r>
              <w:rPr/>
              <w:t> </w:t>
            </w:r>
          </w:p>
        </w:tc>
      </w:tr>
      <w:tr>
        <w:trPr/>
        <w:tc>
          <w:tcPr>
            <w:tcW w:w="2444"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58"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8,982</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8,988</w:t>
            </w:r>
          </w:p>
        </w:tc>
        <w:tc>
          <w:tcPr>
            <w:tcW w:w="66" w:type="dxa"/>
            <w:tcBorders/>
            <w:shd w:fill="CCEEFF" w:val="clear"/>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44"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59,483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59,503</w:t>
            </w:r>
          </w:p>
        </w:tc>
        <w:tc>
          <w:tcPr>
            <w:tcW w:w="66" w:type="dxa"/>
            <w:tcBorders/>
            <w:vAlign w:val="bottom"/>
          </w:tcPr>
          <w:p>
            <w:pPr>
              <w:pStyle w:val="TableContents"/>
              <w:bidi w:val="0"/>
              <w:spacing w:before="0" w:after="283"/>
              <w:jc w:val="left"/>
              <w:rPr/>
            </w:pPr>
            <w:r>
              <w:rPr/>
              <w:t> </w:t>
            </w:r>
          </w:p>
        </w:tc>
      </w:tr>
      <w:tr>
        <w:trPr/>
        <w:tc>
          <w:tcPr>
            <w:tcW w:w="2444"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2"/>
        <w:gridCol w:w="293"/>
        <w:gridCol w:w="417"/>
        <w:gridCol w:w="1133"/>
        <w:gridCol w:w="60"/>
        <w:gridCol w:w="293"/>
        <w:gridCol w:w="841"/>
        <w:gridCol w:w="841"/>
        <w:gridCol w:w="60"/>
        <w:gridCol w:w="293"/>
        <w:gridCol w:w="584"/>
        <w:gridCol w:w="1086"/>
        <w:gridCol w:w="60"/>
        <w:gridCol w:w="293"/>
        <w:gridCol w:w="417"/>
        <w:gridCol w:w="1133"/>
        <w:gridCol w:w="69"/>
      </w:tblGrid>
      <w:tr>
        <w:trPr/>
        <w:tc>
          <w:tcPr>
            <w:tcW w:w="2332"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33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7511"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AS OF DECEMBER 31, 2024</w:t>
            </w:r>
          </w:p>
        </w:tc>
        <w:tc>
          <w:tcPr>
            <w:tcW w:w="69" w:type="dxa"/>
            <w:tcBorders/>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GAIN</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NET</w:t>
              <w:br/>
              <w:t>UNREALIZED</w:t>
              <w:br/>
              <w:t>(LOSS)</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9" w:type="dxa"/>
            <w:tcBorders/>
            <w:vAlign w:val="bottom"/>
          </w:tcPr>
          <w:p>
            <w:pPr>
              <w:pStyle w:val="TableContents"/>
              <w:bidi w:val="0"/>
              <w:spacing w:before="0" w:after="283"/>
              <w:jc w:val="left"/>
              <w:rPr/>
            </w:pPr>
            <w:r>
              <w:rPr/>
              <w:t> </w:t>
            </w:r>
          </w:p>
        </w:tc>
      </w:tr>
      <w:tr>
        <w:trPr/>
        <w:tc>
          <w:tcPr>
            <w:tcW w:w="2332"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sz w:val="4"/>
                <w:szCs w:val="4"/>
              </w:rPr>
            </w:pPr>
            <w:r>
              <w:rPr>
                <w:sz w:val="4"/>
                <w:szCs w:val="4"/>
              </w:rPr>
            </w:r>
          </w:p>
        </w:tc>
        <w:tc>
          <w:tcPr>
            <w:tcW w:w="113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332" w:type="dxa"/>
            <w:tcBorders/>
          </w:tcPr>
          <w:p>
            <w:pPr>
              <w:pStyle w:val="TableContents"/>
              <w:bidi w:val="0"/>
              <w:spacing w:before="0" w:after="0"/>
              <w:jc w:val="left"/>
              <w:rPr>
                <w:rFonts w:ascii="Arial" w:hAnsi="Arial"/>
                <w:sz w:val="19"/>
              </w:rPr>
            </w:pPr>
            <w:r>
              <w:rPr>
                <w:rFonts w:ascii="Arial" w:hAnsi="Arial"/>
                <w:sz w:val="19"/>
              </w:rPr>
              <w:t>Commercial paper</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997</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998</w:t>
            </w:r>
          </w:p>
        </w:tc>
        <w:tc>
          <w:tcPr>
            <w:tcW w:w="69" w:type="dxa"/>
            <w:tcBorders/>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332"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997</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w:t>
            </w:r>
          </w:p>
        </w:tc>
        <w:tc>
          <w:tcPr>
            <w:tcW w:w="10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998</w:t>
            </w:r>
          </w:p>
        </w:tc>
        <w:tc>
          <w:tcPr>
            <w:tcW w:w="69" w:type="dxa"/>
            <w:tcBorders/>
            <w:shd w:fill="CCEEFF" w:val="clear"/>
            <w:vAlign w:val="bottom"/>
          </w:tcPr>
          <w:p>
            <w:pPr>
              <w:pStyle w:val="TableContents"/>
              <w:bidi w:val="0"/>
              <w:spacing w:before="0" w:after="283"/>
              <w:jc w:val="left"/>
              <w:rPr/>
            </w:pPr>
            <w:r>
              <w:rPr/>
              <w:t> </w:t>
            </w:r>
          </w:p>
        </w:tc>
      </w:tr>
      <w:tr>
        <w:trPr/>
        <w:tc>
          <w:tcPr>
            <w:tcW w:w="2332"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17"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As of December 31, 2025, the weighted-average remaining maturity of the Company’s marketable securities was less than one year. The Company believes that an allowance for credit losses is unnecessary. As of December 31, 2025 and 2024, there were no securities in a continuous net unrealized loss position for more than 12 months. To date, the Company has not recorded any impairment charges on available-for-sale securities. Interest receivable as of December 31, 2025 and 2024 of $0.1 million and less than $0.1 million, respectively, are recorded as components of prepaid expenses and other current assets on the Company’s balance sheets. Additionally, accretion income due and accrued as of December 31, 2025 and 2024 of $0.1 million and less than $0.1 million, respectively, are recorded as components of the marketable securities balance. </w:t>
      </w:r>
    </w:p>
    <w:p>
      <w:pPr>
        <w:pStyle w:val="TextBody"/>
        <w:bidi w:val="0"/>
        <w:spacing w:before="240" w:after="0"/>
        <w:jc w:val="left"/>
        <w:rPr>
          <w:rFonts w:ascii="Arial" w:hAnsi="Arial"/>
          <w:b/>
          <w:sz w:val="20"/>
        </w:rPr>
      </w:pPr>
      <w:r>
        <w:rPr>
          <w:rFonts w:ascii="Arial" w:hAnsi="Arial"/>
          <w:b/>
          <w:sz w:val="20"/>
        </w:rPr>
        <w:t xml:space="preserve">6. Balance Sheet Components </w:t>
      </w:r>
    </w:p>
    <w:p>
      <w:pPr>
        <w:pStyle w:val="TextBody"/>
        <w:bidi w:val="0"/>
        <w:spacing w:before="80" w:after="0"/>
        <w:jc w:val="left"/>
        <w:rPr>
          <w:rFonts w:ascii="Arial" w:hAnsi="Arial"/>
          <w:i/>
          <w:sz w:val="19"/>
        </w:rPr>
      </w:pPr>
      <w:r>
        <w:rPr>
          <w:rFonts w:ascii="Arial" w:hAnsi="Arial"/>
          <w:i/>
          <w:sz w:val="19"/>
        </w:rPr>
        <w:t xml:space="preserve">Prepaids and Other Current Assets </w:t>
      </w:r>
    </w:p>
    <w:p>
      <w:pPr>
        <w:pStyle w:val="TextBody"/>
        <w:bidi w:val="0"/>
        <w:spacing w:before="40" w:after="0"/>
        <w:jc w:val="left"/>
        <w:rPr>
          <w:rFonts w:ascii="Arial" w:hAnsi="Arial"/>
          <w:sz w:val="19"/>
        </w:rPr>
      </w:pPr>
      <w:r>
        <w:rPr>
          <w:rFonts w:ascii="Arial" w:hAnsi="Arial"/>
          <w:sz w:val="19"/>
        </w:rPr>
        <w:t xml:space="preserve">Prepaids and other current assets consisted of the following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9"/>
        <w:gridCol w:w="164"/>
        <w:gridCol w:w="222"/>
        <w:gridCol w:w="893"/>
        <w:gridCol w:w="145"/>
        <w:gridCol w:w="439"/>
        <w:gridCol w:w="222"/>
        <w:gridCol w:w="896"/>
        <w:gridCol w:w="65"/>
      </w:tblGrid>
      <w:tr>
        <w:trPr/>
        <w:tc>
          <w:tcPr>
            <w:tcW w:w="71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1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11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Prepaid clinical manufacturing</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8,516</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3,415</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Prepaid insurance</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53</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Prepaid deposits and other</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179</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165</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Total prepaid expenses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8,748</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3,580</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i/>
          <w:sz w:val="19"/>
        </w:rPr>
      </w:pPr>
      <w:r>
        <w:rPr>
          <w:rFonts w:ascii="Arial" w:hAnsi="Arial"/>
          <w:i/>
          <w:sz w:val="19"/>
        </w:rPr>
        <w:t xml:space="preserve">Property and Equipment, Net </w:t>
      </w:r>
    </w:p>
    <w:p>
      <w:pPr>
        <w:pStyle w:val="TextBody"/>
        <w:bidi w:val="0"/>
        <w:spacing w:before="40" w:after="0"/>
        <w:jc w:val="left"/>
        <w:rPr>
          <w:rFonts w:ascii="Arial" w:hAnsi="Arial"/>
          <w:sz w:val="19"/>
        </w:rPr>
      </w:pPr>
      <w:r>
        <w:rPr>
          <w:rFonts w:ascii="Arial" w:hAnsi="Arial"/>
          <w:sz w:val="19"/>
        </w:rPr>
        <w:t xml:space="preserve">The Company acquired property and equipment during the year which was made up of lab equipment and office equipment for a total of $0.7 million. Total property and equipment as of December 31, 2025 and 2024 was $0.7 million and $0, respectively. Total accumulated depreciation as of December 31, 2025 and 2024 was $0.1 million and $0, respectively. For the years ended December 31, 2025 and 2024, the Company recorded $0.1 million, and $0 in depreciation expense, respectively, in the statements of operations and comprehensive loss. </w:t>
      </w:r>
    </w:p>
    <w:p>
      <w:pPr>
        <w:pStyle w:val="TextBody"/>
        <w:bidi w:val="0"/>
        <w:spacing w:before="80" w:after="0"/>
        <w:jc w:val="left"/>
        <w:rPr>
          <w:rFonts w:ascii="Arial" w:hAnsi="Arial"/>
          <w:i/>
          <w:sz w:val="19"/>
        </w:rPr>
      </w:pPr>
      <w:r>
        <w:rPr>
          <w:rFonts w:ascii="Arial" w:hAnsi="Arial"/>
          <w:i/>
          <w:sz w:val="19"/>
        </w:rPr>
        <w:t xml:space="preserve">Accrued Liabilities </w:t>
      </w:r>
    </w:p>
    <w:p>
      <w:pPr>
        <w:pStyle w:val="TextBody"/>
        <w:bidi w:val="0"/>
        <w:spacing w:before="40" w:after="0"/>
        <w:jc w:val="left"/>
        <w:rPr>
          <w:rFonts w:ascii="Arial" w:hAnsi="Arial"/>
          <w:sz w:val="19"/>
        </w:rPr>
      </w:pPr>
      <w:r>
        <w:rPr>
          <w:rFonts w:ascii="Arial" w:hAnsi="Arial"/>
          <w:sz w:val="19"/>
        </w:rPr>
        <w:t xml:space="preserve">Accrued liabilities consisted of the following as of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9"/>
        <w:gridCol w:w="164"/>
        <w:gridCol w:w="222"/>
        <w:gridCol w:w="893"/>
        <w:gridCol w:w="145"/>
        <w:gridCol w:w="439"/>
        <w:gridCol w:w="222"/>
        <w:gridCol w:w="896"/>
        <w:gridCol w:w="65"/>
      </w:tblGrid>
      <w:tr>
        <w:trPr/>
        <w:tc>
          <w:tcPr>
            <w:tcW w:w="71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1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11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Accrued research and development</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3" w:type="dxa"/>
            <w:tcBorders/>
            <w:shd w:fill="CCEEFF" w:val="clear"/>
            <w:vAlign w:val="bottom"/>
          </w:tcPr>
          <w:p>
            <w:pPr>
              <w:pStyle w:val="TableContents"/>
              <w:bidi w:val="0"/>
              <w:spacing w:before="0" w:after="283"/>
              <w:jc w:val="right"/>
              <w:rPr/>
            </w:pPr>
            <w:r>
              <w:rPr/>
              <w:t>429</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59</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Accrued manufacturing</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566</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369</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Accrued clinical trial costs</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1,706</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547</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Accrued bonus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2,014</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1,259</w:t>
            </w:r>
          </w:p>
        </w:tc>
        <w:tc>
          <w:tcPr>
            <w:tcW w:w="65" w:type="dxa"/>
            <w:tcBorders/>
            <w:vAlign w:val="bottom"/>
          </w:tcPr>
          <w:p>
            <w:pPr>
              <w:pStyle w:val="TableContents"/>
              <w:bidi w:val="0"/>
              <w:spacing w:before="0" w:after="283"/>
              <w:jc w:val="left"/>
              <w:rPr/>
            </w:pPr>
            <w:r>
              <w:rPr/>
              <w:t> </w:t>
            </w:r>
          </w:p>
        </w:tc>
      </w:tr>
      <w:tr>
        <w:trPr/>
        <w:tc>
          <w:tcPr>
            <w:tcW w:w="7159" w:type="dxa"/>
            <w:tcBorders/>
            <w:shd w:fill="CCEEFF" w:val="clear"/>
          </w:tcPr>
          <w:p>
            <w:pPr>
              <w:pStyle w:val="TableContents"/>
              <w:bidi w:val="0"/>
              <w:spacing w:before="0" w:after="0"/>
              <w:jc w:val="left"/>
              <w:rPr>
                <w:rFonts w:ascii="Arial" w:hAnsi="Arial"/>
                <w:sz w:val="19"/>
              </w:rPr>
            </w:pPr>
            <w:r>
              <w:rPr>
                <w:rFonts w:ascii="Arial" w:hAnsi="Arial"/>
                <w:sz w:val="19"/>
              </w:rPr>
              <w:t>Accrued general and administrative</w:t>
            </w:r>
          </w:p>
        </w:tc>
        <w:tc>
          <w:tcPr>
            <w:tcW w:w="16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330</w:t>
            </w:r>
          </w:p>
        </w:tc>
        <w:tc>
          <w:tcPr>
            <w:tcW w:w="14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304</w:t>
            </w:r>
          </w:p>
        </w:tc>
        <w:tc>
          <w:tcPr>
            <w:tcW w:w="65" w:type="dxa"/>
            <w:tcBorders/>
            <w:shd w:fill="CCEEFF" w:val="clear"/>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3" w:type="dxa"/>
            <w:tcBorders/>
            <w:vAlign w:val="bottom"/>
          </w:tcPr>
          <w:p>
            <w:pPr>
              <w:pStyle w:val="TableContents"/>
              <w:pBdr>
                <w:top w:val="single" w:sz="2"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159" w:type="dxa"/>
            <w:tcBorders/>
          </w:tcPr>
          <w:p>
            <w:pPr>
              <w:pStyle w:val="TableContents"/>
              <w:bidi w:val="0"/>
              <w:spacing w:before="0" w:after="0"/>
              <w:jc w:val="left"/>
              <w:rPr>
                <w:rFonts w:ascii="Arial" w:hAnsi="Arial"/>
                <w:sz w:val="19"/>
              </w:rPr>
            </w:pPr>
            <w:r>
              <w:rPr>
                <w:rFonts w:ascii="Arial" w:hAnsi="Arial"/>
                <w:sz w:val="19"/>
              </w:rPr>
              <w:t>Total accrued liabilities</w:t>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3" w:type="dxa"/>
            <w:tcBorders/>
            <w:vAlign w:val="bottom"/>
          </w:tcPr>
          <w:p>
            <w:pPr>
              <w:pStyle w:val="TableContents"/>
              <w:bidi w:val="0"/>
              <w:spacing w:before="0" w:after="283"/>
              <w:jc w:val="right"/>
              <w:rPr/>
            </w:pPr>
            <w:r>
              <w:rPr/>
              <w:t>5,045</w:t>
            </w:r>
          </w:p>
        </w:tc>
        <w:tc>
          <w:tcPr>
            <w:tcW w:w="14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2,538</w:t>
            </w:r>
          </w:p>
        </w:tc>
        <w:tc>
          <w:tcPr>
            <w:tcW w:w="65" w:type="dxa"/>
            <w:tcBorders/>
            <w:vAlign w:val="bottom"/>
          </w:tcPr>
          <w:p>
            <w:pPr>
              <w:pStyle w:val="TableContents"/>
              <w:bidi w:val="0"/>
              <w:spacing w:before="0" w:after="283"/>
              <w:jc w:val="left"/>
              <w:rPr/>
            </w:pPr>
            <w:r>
              <w:rPr/>
              <w:t> </w:t>
            </w:r>
          </w:p>
        </w:tc>
      </w:tr>
      <w:tr>
        <w:trPr/>
        <w:tc>
          <w:tcPr>
            <w:tcW w:w="715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3" w:type="dxa"/>
            <w:tcBorders/>
            <w:vAlign w:val="bottom"/>
          </w:tcPr>
          <w:p>
            <w:pPr>
              <w:pStyle w:val="TableContents"/>
              <w:pBdr>
                <w:top w:val="double" w:sz="6" w:space="1" w:color="000000"/>
              </w:pBdr>
              <w:bidi w:val="0"/>
              <w:spacing w:before="0" w:after="0"/>
              <w:jc w:val="left"/>
              <w:rPr/>
            </w:pPr>
            <w:r>
              <w:rPr/>
              <w:t> </w:t>
            </w:r>
          </w:p>
        </w:tc>
        <w:tc>
          <w:tcPr>
            <w:tcW w:w="145" w:type="dxa"/>
            <w:tcBorders/>
            <w:vAlign w:val="center"/>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sz w:val="20"/>
        </w:rPr>
      </w:pPr>
      <w:r>
        <w:rPr>
          <w:rFonts w:ascii="Arial" w:hAnsi="Arial"/>
          <w:b/>
          <w:sz w:val="20"/>
        </w:rPr>
        <w:t xml:space="preserve">7. Leases </w:t>
      </w:r>
    </w:p>
    <w:p>
      <w:pPr>
        <w:pStyle w:val="TextBody"/>
        <w:bidi w:val="0"/>
        <w:spacing w:before="40" w:after="0"/>
        <w:jc w:val="left"/>
        <w:rPr>
          <w:rFonts w:ascii="Arial" w:hAnsi="Arial"/>
          <w:sz w:val="19"/>
        </w:rPr>
      </w:pPr>
      <w:r>
        <w:rPr>
          <w:rFonts w:ascii="Arial" w:hAnsi="Arial"/>
          <w:sz w:val="19"/>
        </w:rPr>
        <w:t xml:space="preserve">Effective September 10, 2025 (the “Commencement Date”), the Company entered into a noncancelable operating lease agreement (the “Lease”) for approximately 14,055 rentable square feet of office and laboratory space located in South San Francisco, California (the “Premises”).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In addition to base rent, the Company is required to pay its proportionate share of the building’s operating and tax expenses, which are accounted for as variable lease payments and are not included in the measurement of the lease liability. The Company used an incremental borrowing rate of 6.45% to discount the lease payments, as the rate implicit in the Lease was not readily determinable.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components of lease expense were as follows as of December 31, 2025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64"/>
        <w:gridCol w:w="853"/>
        <w:gridCol w:w="485"/>
        <w:gridCol w:w="1340"/>
        <w:gridCol w:w="63"/>
      </w:tblGrid>
      <w:tr>
        <w:trPr/>
        <w:tc>
          <w:tcPr>
            <w:tcW w:w="7464" w:type="dxa"/>
            <w:tcBorders/>
            <w:vAlign w:val="center"/>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464"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left"/>
              <w:rPr/>
            </w:pPr>
            <w:r>
              <w:rPr/>
              <w:t>  </w:t>
            </w:r>
          </w:p>
        </w:tc>
        <w:tc>
          <w:tcPr>
            <w:tcW w:w="182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AS OF</w:t>
              <w:br/>
              <w:t>DECEMBER 31,</w:t>
              <w:br/>
              <w:t>2025</w:t>
            </w:r>
          </w:p>
        </w:tc>
        <w:tc>
          <w:tcPr>
            <w:tcW w:w="63" w:type="dxa"/>
            <w:tcBorders/>
            <w:vAlign w:val="bottom"/>
          </w:tcPr>
          <w:p>
            <w:pPr>
              <w:pStyle w:val="TableContents"/>
              <w:bidi w:val="0"/>
              <w:spacing w:before="0" w:after="283"/>
              <w:jc w:val="left"/>
              <w:rPr/>
            </w:pPr>
            <w:r>
              <w:rPr/>
              <w:t> </w:t>
            </w:r>
          </w:p>
        </w:tc>
      </w:tr>
      <w:tr>
        <w:trPr/>
        <w:tc>
          <w:tcPr>
            <w:tcW w:w="7464" w:type="dxa"/>
            <w:tcBorders/>
            <w:shd w:fill="CCEEFF" w:val="clear"/>
          </w:tcPr>
          <w:p>
            <w:pPr>
              <w:pStyle w:val="TableContents"/>
              <w:bidi w:val="0"/>
              <w:spacing w:before="0" w:after="0"/>
              <w:jc w:val="left"/>
              <w:rPr>
                <w:rFonts w:ascii="Arial" w:hAnsi="Arial"/>
                <w:sz w:val="19"/>
              </w:rPr>
            </w:pPr>
            <w:r>
              <w:rPr>
                <w:rFonts w:ascii="Arial" w:hAnsi="Arial"/>
                <w:sz w:val="19"/>
              </w:rPr>
              <w:t>Operating lease expense (straight-line)</w:t>
            </w:r>
          </w:p>
        </w:tc>
        <w:tc>
          <w:tcPr>
            <w:tcW w:w="853"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260</w:t>
            </w:r>
          </w:p>
        </w:tc>
        <w:tc>
          <w:tcPr>
            <w:tcW w:w="63" w:type="dxa"/>
            <w:tcBorders/>
            <w:shd w:fill="CCEEFF" w:val="clear"/>
            <w:vAlign w:val="bottom"/>
          </w:tcPr>
          <w:p>
            <w:pPr>
              <w:pStyle w:val="TableContents"/>
              <w:bidi w:val="0"/>
              <w:spacing w:before="0" w:after="283"/>
              <w:jc w:val="left"/>
              <w:rPr/>
            </w:pPr>
            <w:r>
              <w:rPr/>
              <w:t> </w:t>
            </w:r>
          </w:p>
        </w:tc>
      </w:tr>
      <w:tr>
        <w:trPr/>
        <w:tc>
          <w:tcPr>
            <w:tcW w:w="7464" w:type="dxa"/>
            <w:tcBorders/>
          </w:tcPr>
          <w:p>
            <w:pPr>
              <w:pStyle w:val="TableContents"/>
              <w:bidi w:val="0"/>
              <w:spacing w:before="0" w:after="0"/>
              <w:jc w:val="left"/>
              <w:rPr>
                <w:rFonts w:ascii="Arial" w:hAnsi="Arial"/>
                <w:sz w:val="19"/>
              </w:rPr>
            </w:pPr>
            <w:r>
              <w:rPr>
                <w:rFonts w:ascii="Arial" w:hAnsi="Arial"/>
                <w:sz w:val="19"/>
              </w:rPr>
              <w:t>Variable lease expense (direct expenses)</w:t>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7464"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464" w:type="dxa"/>
            <w:tcBorders/>
            <w:shd w:fill="CCEEFF" w:val="clear"/>
          </w:tcPr>
          <w:p>
            <w:pPr>
              <w:pStyle w:val="TableContents"/>
              <w:bidi w:val="0"/>
              <w:spacing w:before="0" w:after="0"/>
              <w:jc w:val="left"/>
              <w:rPr>
                <w:rFonts w:ascii="Arial" w:hAnsi="Arial"/>
                <w:sz w:val="19"/>
              </w:rPr>
            </w:pPr>
            <w:r>
              <w:rPr>
                <w:rFonts w:ascii="Arial" w:hAnsi="Arial"/>
                <w:sz w:val="19"/>
              </w:rPr>
              <w:t>Total lease expense</w:t>
            </w:r>
          </w:p>
        </w:tc>
        <w:tc>
          <w:tcPr>
            <w:tcW w:w="853"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369</w:t>
            </w:r>
          </w:p>
        </w:tc>
        <w:tc>
          <w:tcPr>
            <w:tcW w:w="63" w:type="dxa"/>
            <w:tcBorders/>
            <w:shd w:fill="CCEEFF" w:val="clear"/>
            <w:vAlign w:val="bottom"/>
          </w:tcPr>
          <w:p>
            <w:pPr>
              <w:pStyle w:val="TableContents"/>
              <w:bidi w:val="0"/>
              <w:spacing w:before="0" w:after="283"/>
              <w:jc w:val="left"/>
              <w:rPr/>
            </w:pPr>
            <w:r>
              <w:rPr/>
              <w:t> </w:t>
            </w:r>
          </w:p>
        </w:tc>
      </w:tr>
      <w:tr>
        <w:trPr/>
        <w:tc>
          <w:tcPr>
            <w:tcW w:w="7464"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pPr>
            <w:r>
              <w:rPr/>
              <w:t>  </w:t>
            </w:r>
          </w:p>
        </w:tc>
        <w:tc>
          <w:tcPr>
            <w:tcW w:w="485"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Cash paid for amounts included in the measurement of lease liabilities for the year ended December 31, 2025 was $0.3 million and was included in net cash used in operating activities in the Company’s statement of cash flows. Supplemental balance sheet information related to the Company’s operating lease was as follows as of December 31, 2025: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8"/>
        <w:gridCol w:w="784"/>
        <w:gridCol w:w="216"/>
        <w:gridCol w:w="1610"/>
        <w:gridCol w:w="277"/>
      </w:tblGrid>
      <w:tr>
        <w:trPr/>
        <w:tc>
          <w:tcPr>
            <w:tcW w:w="7318"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318"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82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AS OF</w:t>
              <w:br/>
              <w:t>DECEMBER 31,</w:t>
              <w:br/>
              <w:t>2025</w:t>
            </w:r>
          </w:p>
        </w:tc>
        <w:tc>
          <w:tcPr>
            <w:tcW w:w="277" w:type="dxa"/>
            <w:tcBorders/>
            <w:vAlign w:val="bottom"/>
          </w:tcPr>
          <w:p>
            <w:pPr>
              <w:pStyle w:val="TableContents"/>
              <w:bidi w:val="0"/>
              <w:spacing w:before="0" w:after="283"/>
              <w:jc w:val="left"/>
              <w:rPr/>
            </w:pPr>
            <w:r>
              <w:rPr/>
              <w:t> </w:t>
            </w:r>
          </w:p>
        </w:tc>
      </w:tr>
      <w:tr>
        <w:trPr/>
        <w:tc>
          <w:tcPr>
            <w:tcW w:w="7318" w:type="dxa"/>
            <w:tcBorders/>
            <w:shd w:fill="CCEEFF" w:val="clear"/>
          </w:tcPr>
          <w:p>
            <w:pPr>
              <w:pStyle w:val="TableContents"/>
              <w:bidi w:val="0"/>
              <w:spacing w:before="0" w:after="0"/>
              <w:jc w:val="left"/>
              <w:rPr>
                <w:rFonts w:ascii="Arial" w:hAnsi="Arial"/>
                <w:sz w:val="19"/>
              </w:rPr>
            </w:pPr>
            <w:r>
              <w:rPr>
                <w:rFonts w:ascii="Arial" w:hAnsi="Arial"/>
                <w:sz w:val="19"/>
              </w:rPr>
              <w:t>Weighted-average remaining lease term (years)</w:t>
            </w:r>
          </w:p>
        </w:tc>
        <w:tc>
          <w:tcPr>
            <w:tcW w:w="78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2.75</w:t>
            </w:r>
          </w:p>
        </w:tc>
        <w:tc>
          <w:tcPr>
            <w:tcW w:w="277" w:type="dxa"/>
            <w:tcBorders/>
            <w:shd w:fill="CCEEFF" w:val="clear"/>
            <w:vAlign w:val="bottom"/>
          </w:tcPr>
          <w:p>
            <w:pPr>
              <w:pStyle w:val="TableContents"/>
              <w:bidi w:val="0"/>
              <w:spacing w:before="0" w:after="283"/>
              <w:jc w:val="left"/>
              <w:rPr/>
            </w:pPr>
            <w:r>
              <w:rPr/>
              <w:t> </w:t>
            </w:r>
          </w:p>
        </w:tc>
      </w:tr>
      <w:tr>
        <w:trPr/>
        <w:tc>
          <w:tcPr>
            <w:tcW w:w="7318" w:type="dxa"/>
            <w:tcBorders/>
          </w:tcPr>
          <w:p>
            <w:pPr>
              <w:pStyle w:val="TableContents"/>
              <w:bidi w:val="0"/>
              <w:spacing w:before="0" w:after="0"/>
              <w:jc w:val="left"/>
              <w:rPr>
                <w:rFonts w:ascii="Arial" w:hAnsi="Arial"/>
                <w:sz w:val="19"/>
              </w:rPr>
            </w:pPr>
            <w:r>
              <w:rPr>
                <w:rFonts w:ascii="Arial" w:hAnsi="Arial"/>
                <w:sz w:val="19"/>
              </w:rPr>
              <w:t>Weighted-average discount rate</w:t>
            </w:r>
          </w:p>
        </w:tc>
        <w:tc>
          <w:tcPr>
            <w:tcW w:w="78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6.45</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Future minimum lease payments under the Company’s non-cancelable operating lease were as follows as of December 31, 2025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65"/>
        <w:gridCol w:w="234"/>
        <w:gridCol w:w="229"/>
        <w:gridCol w:w="919"/>
        <w:gridCol w:w="158"/>
      </w:tblGrid>
      <w:tr>
        <w:trPr/>
        <w:tc>
          <w:tcPr>
            <w:tcW w:w="866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65" w:type="dxa"/>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YEAR ENDING DECEMBER 31,</w:t>
            </w:r>
          </w:p>
        </w:tc>
        <w:tc>
          <w:tcPr>
            <w:tcW w:w="234" w:type="dxa"/>
            <w:tcBorders/>
            <w:vAlign w:val="bottom"/>
          </w:tcPr>
          <w:p>
            <w:pPr>
              <w:pStyle w:val="TableContents"/>
              <w:bidi w:val="0"/>
              <w:spacing w:before="0" w:after="283"/>
              <w:jc w:val="left"/>
              <w:rPr/>
            </w:pPr>
            <w:r>
              <w:rPr/>
              <w:t>  </w:t>
            </w:r>
          </w:p>
        </w:tc>
        <w:tc>
          <w:tcPr>
            <w:tcW w:w="114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2026</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629</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2027</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942</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2028</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725</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Total undiscounted lease payments</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2,296</w:t>
            </w:r>
          </w:p>
        </w:tc>
        <w:tc>
          <w:tcPr>
            <w:tcW w:w="158" w:type="dxa"/>
            <w:tcBorders/>
            <w:vAlign w:val="bottom"/>
          </w:tcPr>
          <w:p>
            <w:pPr>
              <w:pStyle w:val="TableContents"/>
              <w:bidi w:val="0"/>
              <w:spacing w:before="0" w:after="283"/>
              <w:jc w:val="left"/>
              <w:rPr/>
            </w:pPr>
            <w:r>
              <w:rPr/>
              <w:t> </w:t>
            </w:r>
          </w:p>
        </w:tc>
      </w:tr>
      <w:tr>
        <w:trPr/>
        <w:tc>
          <w:tcPr>
            <w:tcW w:w="8665" w:type="dxa"/>
            <w:tcBorders/>
            <w:shd w:fill="CCEEFF" w:val="clear"/>
          </w:tcPr>
          <w:p>
            <w:pPr>
              <w:pStyle w:val="TableContents"/>
              <w:bidi w:val="0"/>
              <w:spacing w:before="0" w:after="0"/>
              <w:jc w:val="left"/>
              <w:rPr>
                <w:rFonts w:ascii="Arial" w:hAnsi="Arial"/>
                <w:sz w:val="19"/>
              </w:rPr>
            </w:pPr>
            <w:r>
              <w:rPr>
                <w:rFonts w:ascii="Arial" w:hAnsi="Arial"/>
                <w:sz w:val="19"/>
              </w:rPr>
              <w:t>Less: imputed interest</w:t>
            </w:r>
          </w:p>
        </w:tc>
        <w:tc>
          <w:tcPr>
            <w:tcW w:w="234"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(209</w:t>
            </w:r>
          </w:p>
        </w:tc>
        <w:tc>
          <w:tcPr>
            <w:tcW w:w="158" w:type="dxa"/>
            <w:tcBorders/>
            <w:shd w:fill="CCEEFF" w:val="clear"/>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65" w:type="dxa"/>
            <w:tcBorders/>
          </w:tcPr>
          <w:p>
            <w:pPr>
              <w:pStyle w:val="TableContents"/>
              <w:bidi w:val="0"/>
              <w:spacing w:before="0" w:after="0"/>
              <w:jc w:val="left"/>
              <w:rPr>
                <w:rFonts w:ascii="Arial" w:hAnsi="Arial"/>
                <w:sz w:val="19"/>
              </w:rPr>
            </w:pPr>
            <w:r>
              <w:rPr>
                <w:rFonts w:ascii="Arial" w:hAnsi="Arial"/>
                <w:sz w:val="19"/>
              </w:rPr>
              <w:t>Total operating lease liabilities</w:t>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2,087</w:t>
            </w:r>
          </w:p>
        </w:tc>
        <w:tc>
          <w:tcPr>
            <w:tcW w:w="158" w:type="dxa"/>
            <w:tcBorders/>
            <w:vAlign w:val="bottom"/>
          </w:tcPr>
          <w:p>
            <w:pPr>
              <w:pStyle w:val="TableContents"/>
              <w:bidi w:val="0"/>
              <w:spacing w:before="0" w:after="283"/>
              <w:jc w:val="left"/>
              <w:rPr/>
            </w:pPr>
            <w:r>
              <w:rPr/>
              <w:t> </w:t>
            </w:r>
          </w:p>
        </w:tc>
      </w:tr>
      <w:tr>
        <w:trPr/>
        <w:tc>
          <w:tcPr>
            <w:tcW w:w="8665"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future minimum lease payments above do not include variable lease payments for the Company’s proportionate share of building operating and tax expenses, which are recognized in the period incurred. The extension options are not included in the maturity analysis as the Company is not reasonably certain to exercise either option. </w:t>
      </w:r>
    </w:p>
    <w:p>
      <w:pPr>
        <w:pStyle w:val="TextBody"/>
        <w:bidi w:val="0"/>
        <w:spacing w:before="240" w:after="0"/>
        <w:jc w:val="left"/>
        <w:rPr>
          <w:rFonts w:ascii="Arial" w:hAnsi="Arial"/>
          <w:b/>
          <w:sz w:val="20"/>
        </w:rPr>
      </w:pPr>
      <w:r>
        <w:rPr>
          <w:rFonts w:ascii="Arial" w:hAnsi="Arial"/>
          <w:b/>
          <w:sz w:val="20"/>
        </w:rPr>
        <w:t xml:space="preserve">8. Convertible Notes – Related Party </w:t>
      </w:r>
    </w:p>
    <w:p>
      <w:pPr>
        <w:pStyle w:val="TextBody"/>
        <w:bidi w:val="0"/>
        <w:spacing w:before="40" w:after="0"/>
        <w:jc w:val="left"/>
        <w:rPr>
          <w:rFonts w:ascii="Arial" w:hAnsi="Arial"/>
          <w:sz w:val="19"/>
        </w:rPr>
      </w:pPr>
      <w:r>
        <w:rPr>
          <w:rFonts w:ascii="Arial" w:hAnsi="Arial"/>
          <w:sz w:val="19"/>
        </w:rPr>
        <w:t xml:space="preserve">On March 7, 2025, the Company issued Initial Notes to multiple investors. The Initial Notes bore interest at an annual rate of 8% per annum on the outstanding principal balance. Interest commenced on the closing date of March 7, 2025 and was computed on the basis of a year of 365 days for the actual number of days elapsed. The outstanding principal amount and all accrued and unpaid interest was due and payable upon demand by the Holders on or after June 30, 2026 (the “Maturity Date”). Each Holder committed to purchase additional notes in one or more future closings with the combined aggregate commitment of all Holders not to exceed $20.0 million. </w:t>
      </w:r>
    </w:p>
    <w:p>
      <w:pPr>
        <w:pStyle w:val="TextBody"/>
        <w:bidi w:val="0"/>
        <w:spacing w:before="180" w:after="0"/>
        <w:jc w:val="left"/>
        <w:rPr>
          <w:rFonts w:ascii="Arial" w:hAnsi="Arial"/>
          <w:sz w:val="19"/>
        </w:rPr>
      </w:pPr>
      <w:r>
        <w:rPr>
          <w:rFonts w:ascii="Arial" w:hAnsi="Arial"/>
          <w:sz w:val="19"/>
        </w:rPr>
        <w:t xml:space="preserve">On June 30, 2025, the Company issued the Subsequent Notes in the aggregate principal amount of $20.0 million pursuant to the commitment. The Subsequent Notes had terms identical to the Initial Notes, except for their respective principal amounts. The aggregate principal amount of the Notes outstanding was $40.0 million. The Notes were issued to existing investors of the Company’s redeemable convertible preferred stock, therefore, the issuances are considered related party transactions (see Note 3 – Related Party Transactions). </w:t>
      </w:r>
    </w:p>
    <w:p>
      <w:pPr>
        <w:pStyle w:val="TextBody"/>
        <w:bidi w:val="0"/>
        <w:spacing w:before="180" w:after="0"/>
        <w:jc w:val="left"/>
        <w:rPr>
          <w:rFonts w:ascii="Arial" w:hAnsi="Arial"/>
          <w:sz w:val="19"/>
        </w:rPr>
      </w:pPr>
      <w:r>
        <w:rPr>
          <w:rFonts w:ascii="Arial" w:hAnsi="Arial"/>
          <w:sz w:val="19"/>
        </w:rPr>
        <w:t xml:space="preserve">The Notes contained the following settlement provisions: (1) Upon the occurrence of a qualified preferred stock equity financing (a “Qualified Financing”) on or before the Maturity Date, the amount due automatically converts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into fully paid and nonassessable shares of the preferred stock issued in such Qualified Financing at a price per share equal to the cash price per share paid by the other purchasers in the Qualified Financing; (2) if the Company completed a preferred stock equity financing that raised less than the Qualified Financing threshold of proceeds totaling $40.0 million, excluding note conversions, the Holders holding a majority of the principal outstanding under the Notes could elect to treat such financing as a Qualified Financing, with the amount due converting into preferred stock on the same terms, or hold the Notes until maturity; (3) upon the occurrence of a change of control, Holders were entitled to receive a cash payment equal to the amount due plus an applicable premium (the applicable premium was 20% if the change of control occurred prior to March 7, 2026, 50% if on or after March 7, 2026, and 100% premium if on or after the Maturity Date); and (4) upon an event of default, the amount due would become immediately due and payable in cash. </w:t>
      </w:r>
    </w:p>
    <w:p>
      <w:pPr>
        <w:pStyle w:val="TextBody"/>
        <w:bidi w:val="0"/>
        <w:spacing w:before="180" w:after="0"/>
        <w:jc w:val="left"/>
        <w:rPr>
          <w:rFonts w:ascii="Arial" w:hAnsi="Arial"/>
          <w:sz w:val="19"/>
        </w:rPr>
      </w:pPr>
      <w:r>
        <w:rPr>
          <w:rFonts w:ascii="Arial" w:hAnsi="Arial"/>
          <w:sz w:val="19"/>
        </w:rPr>
        <w:t xml:space="preserve">The Company elected the fair value option under ASC 825-10 to account for the Notes at the time of their initial recognition. Transaction costs incurred in connection with the issuance of the Notes were expensed as incurred. Interest expense from the Notes is presented in the statement of operations and comprehensive loss. For the year ended December 31, 2025, the Company recognized $1.4 million of expense in the statement of operations and comprehensive loss for the difference between the proceeds received and the fair value of the Notes, which was due to accrued interest on the Notes as of the conversion date. On issuance, total issuance costs of $0.1 million were expensed and recognized as general and administrative expense in the statement of operations and comprehensive loss. </w:t>
      </w:r>
    </w:p>
    <w:p>
      <w:pPr>
        <w:pStyle w:val="TextBody"/>
        <w:bidi w:val="0"/>
        <w:spacing w:before="180" w:after="0"/>
        <w:jc w:val="left"/>
        <w:rPr>
          <w:rFonts w:ascii="Arial" w:hAnsi="Arial"/>
          <w:sz w:val="19"/>
        </w:rPr>
      </w:pPr>
      <w:r>
        <w:rPr>
          <w:rFonts w:ascii="Arial" w:hAnsi="Arial"/>
          <w:sz w:val="19"/>
        </w:rPr>
        <w:t xml:space="preserve">On October 15, 2025, the Company completed a Qualified Financing through the issuance of Series C Preferred Stock (see Note 10 – Stockholders’ Deficit). Upon the closing of the Qualified Financing, the outstanding principal amount of the Notes and all accrued and unpaid interest thereon, totaling $41.4 million, were automatically converted into 6,121,225 shares of Series C Preferred Stock at a conversion price of $6.7688 per share. </w:t>
      </w:r>
    </w:p>
    <w:p>
      <w:pPr>
        <w:pStyle w:val="TextBody"/>
        <w:bidi w:val="0"/>
        <w:spacing w:before="180" w:after="0"/>
        <w:jc w:val="left"/>
        <w:rPr>
          <w:rFonts w:ascii="Arial" w:hAnsi="Arial"/>
          <w:sz w:val="19"/>
        </w:rPr>
      </w:pPr>
      <w:r>
        <w:rPr>
          <w:rFonts w:ascii="Arial" w:hAnsi="Arial"/>
          <w:sz w:val="19"/>
        </w:rPr>
        <w:t xml:space="preserve">As of December 31, 2025, no convertible promissory notes remained outstanding. There was no gain or loss on extinguishment in the statement of operations and comprehensive loss for the year ended December 31, 2025. </w:t>
      </w:r>
    </w:p>
    <w:p>
      <w:pPr>
        <w:pStyle w:val="TextBody"/>
        <w:bidi w:val="0"/>
        <w:spacing w:before="240" w:after="0"/>
        <w:jc w:val="left"/>
        <w:rPr>
          <w:rFonts w:ascii="Arial" w:hAnsi="Arial"/>
          <w:b/>
          <w:sz w:val="20"/>
        </w:rPr>
      </w:pPr>
      <w:r>
        <w:rPr>
          <w:rFonts w:ascii="Arial" w:hAnsi="Arial"/>
          <w:b/>
          <w:sz w:val="20"/>
        </w:rPr>
        <w:t xml:space="preserve">9. Commitments and Contingencies </w:t>
      </w:r>
    </w:p>
    <w:p>
      <w:pPr>
        <w:pStyle w:val="TextBody"/>
        <w:bidi w:val="0"/>
        <w:spacing w:before="80" w:after="0"/>
        <w:jc w:val="left"/>
        <w:rPr>
          <w:rFonts w:ascii="Arial" w:hAnsi="Arial"/>
          <w:b/>
          <w:i/>
          <w:sz w:val="19"/>
        </w:rPr>
      </w:pPr>
      <w:r>
        <w:rPr>
          <w:rFonts w:ascii="Arial" w:hAnsi="Arial"/>
          <w:b/>
          <w:i/>
          <w:sz w:val="19"/>
        </w:rPr>
        <w:t xml:space="preserve">Commitments </w:t>
      </w:r>
    </w:p>
    <w:p>
      <w:pPr>
        <w:pStyle w:val="TextBody"/>
        <w:bidi w:val="0"/>
        <w:spacing w:before="40" w:after="0"/>
        <w:jc w:val="left"/>
        <w:rPr>
          <w:rFonts w:ascii="Arial" w:hAnsi="Arial"/>
          <w:sz w:val="19"/>
        </w:rPr>
      </w:pPr>
      <w:r>
        <w:rPr>
          <w:rFonts w:ascii="Arial" w:hAnsi="Arial"/>
          <w:sz w:val="19"/>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the Company entered into a noncancelable operating lease agreement for approximately 14,055 rentable square feet of office and laboratory space in South San Francisco, California.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The lease provides for escalating annualized base rent payments starting at $0.9 million and increasing to $1.0 million in the final year of the lease. Remaining lease payments from January 1, 2026 through the end of the lease term total $2.3 million (see Note 7 – Leases). </w:t>
      </w:r>
    </w:p>
    <w:p>
      <w:pPr>
        <w:pStyle w:val="TextBody"/>
        <w:bidi w:val="0"/>
        <w:spacing w:before="180" w:after="0"/>
        <w:jc w:val="left"/>
        <w:rPr>
          <w:rFonts w:ascii="Arial" w:hAnsi="Arial"/>
          <w:sz w:val="19"/>
        </w:rPr>
      </w:pPr>
      <w:r>
        <w:rPr>
          <w:rFonts w:ascii="Arial" w:hAnsi="Arial"/>
          <w:sz w:val="19"/>
        </w:rPr>
        <w:t xml:space="preserve">The Company is also party to a mouse platform agreement with an unrelated third party. Under the agreement, the Company was granted non-exclusive licenses to use transgenic mice to generate antibodies and to exploit products containing the resulting antibodies (“Antibody Products”). Under the agreement, the Company paid a one-time initial technology access fee and is obligated to pay annual low five-digit maintenance fees per distinct antigen with which the Company immunized the mice, continuing until the first commercial sale of an Antibody Product. In addition, the agreement requires the Company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applicable Antibody Product in the applicable country and continuing for 10 years thereafter. The agreement remains in effect until the expiration of the last-to-expire royalty term, unless earlier terminated by the Company at will or by either party for the other party’s uncured material breach of a material provision of the agreement. </w:t>
      </w:r>
    </w:p>
    <w:p>
      <w:pPr>
        <w:pStyle w:val="TextBody"/>
        <w:bidi w:val="0"/>
        <w:spacing w:before="80" w:after="0"/>
        <w:jc w:val="left"/>
        <w:rPr>
          <w:rFonts w:ascii="Arial" w:hAnsi="Arial"/>
          <w:b/>
          <w:i/>
          <w:sz w:val="19"/>
        </w:rPr>
      </w:pPr>
      <w:r>
        <w:rPr>
          <w:rFonts w:ascii="Arial" w:hAnsi="Arial"/>
          <w:b/>
          <w:i/>
          <w:sz w:val="19"/>
        </w:rPr>
        <w:t xml:space="preserve">Contingencies </w:t>
      </w:r>
    </w:p>
    <w:p>
      <w:pPr>
        <w:pStyle w:val="TextBody"/>
        <w:bidi w:val="0"/>
        <w:spacing w:before="40" w:after="0"/>
        <w:jc w:val="left"/>
        <w:rPr>
          <w:rFonts w:ascii="Arial" w:hAnsi="Arial"/>
          <w:sz w:val="19"/>
        </w:rPr>
      </w:pPr>
      <w:r>
        <w:rPr>
          <w:rFonts w:ascii="Arial" w:hAnsi="Arial"/>
          <w:sz w:val="19"/>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180" w:after="0"/>
        <w:jc w:val="left"/>
        <w:rPr>
          <w:rFonts w:ascii="Arial" w:hAnsi="Arial"/>
          <w:sz w:val="19"/>
        </w:rPr>
      </w:pPr>
      <w:r>
        <w:rPr>
          <w:rFonts w:ascii="Arial" w:hAnsi="Arial"/>
          <w:sz w:val="19"/>
        </w:rPr>
        <w:t xml:space="preserve">In the normal course of operations, the Company may become involved in various legal proceedings. As of December 31, 2025 and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financial position, results of operations, or statements of cash flows. </w:t>
      </w:r>
    </w:p>
    <w:p>
      <w:pPr>
        <w:pStyle w:val="TextBody"/>
        <w:bidi w:val="0"/>
        <w:spacing w:before="80" w:after="0"/>
        <w:jc w:val="left"/>
        <w:rPr>
          <w:rFonts w:ascii="Arial" w:hAnsi="Arial"/>
          <w:b/>
          <w:i/>
          <w:sz w:val="19"/>
        </w:rPr>
      </w:pPr>
      <w:r>
        <w:rPr>
          <w:rFonts w:ascii="Arial" w:hAnsi="Arial"/>
          <w:b/>
          <w:i/>
          <w:sz w:val="19"/>
        </w:rPr>
        <w:t xml:space="preserve">Indemnification </w:t>
      </w:r>
    </w:p>
    <w:p>
      <w:pPr>
        <w:pStyle w:val="TextBody"/>
        <w:bidi w:val="0"/>
        <w:spacing w:before="40" w:after="0"/>
        <w:jc w:val="left"/>
        <w:rPr>
          <w:rFonts w:ascii="Arial" w:hAnsi="Arial"/>
          <w:sz w:val="19"/>
        </w:rPr>
      </w:pPr>
      <w:r>
        <w:rPr>
          <w:rFonts w:ascii="Arial" w:hAnsi="Arial"/>
          <w:sz w:val="19"/>
        </w:rPr>
        <w:t xml:space="preserve">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 </w:t>
      </w:r>
    </w:p>
    <w:p>
      <w:pPr>
        <w:pStyle w:val="TextBody"/>
        <w:bidi w:val="0"/>
        <w:spacing w:before="180" w:after="0"/>
        <w:jc w:val="left"/>
        <w:rPr>
          <w:rFonts w:ascii="Arial" w:hAnsi="Arial"/>
          <w:sz w:val="19"/>
        </w:rPr>
      </w:pPr>
      <w:r>
        <w:rPr>
          <w:rFonts w:ascii="Arial" w:hAnsi="Arial"/>
          <w:sz w:val="19"/>
        </w:rPr>
        <w:t xml:space="preserve">In accordance with the Company’s Amended and Restated Certificate of Incorporation (the “Certificate of Incorporation”) and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 </w:t>
      </w:r>
    </w:p>
    <w:p>
      <w:pPr>
        <w:pStyle w:val="TextBody"/>
        <w:bidi w:val="0"/>
        <w:spacing w:before="180" w:after="0"/>
        <w:jc w:val="left"/>
        <w:rPr>
          <w:rFonts w:ascii="Arial" w:hAnsi="Arial"/>
          <w:sz w:val="19"/>
        </w:rPr>
      </w:pPr>
      <w:r>
        <w:rPr>
          <w:rFonts w:ascii="Arial" w:hAnsi="Arial"/>
          <w:sz w:val="19"/>
        </w:rPr>
        <w:t xml:space="preserve">The Company’s exposure under these agreements is unknown because it involves claims that may be made against it in the future but have not yet been made. The Company believes that the fair value of these indemnification obligations is minimal; accordingly, it has not recognized any liabilities relating to these obligations for any period presented. </w:t>
      </w:r>
    </w:p>
    <w:p>
      <w:pPr>
        <w:pStyle w:val="TextBody"/>
        <w:bidi w:val="0"/>
        <w:spacing w:before="240" w:after="0"/>
        <w:jc w:val="left"/>
        <w:rPr>
          <w:rFonts w:ascii="Arial" w:hAnsi="Arial"/>
          <w:b/>
          <w:sz w:val="20"/>
        </w:rPr>
      </w:pPr>
      <w:r>
        <w:rPr>
          <w:rFonts w:ascii="Arial" w:hAnsi="Arial"/>
          <w:b/>
          <w:sz w:val="20"/>
        </w:rPr>
        <w:t xml:space="preserve">10. Redeemable Convertible Preferred Stock </w:t>
      </w:r>
    </w:p>
    <w:p>
      <w:pPr>
        <w:pStyle w:val="TextBody"/>
        <w:bidi w:val="0"/>
        <w:spacing w:before="80" w:after="0"/>
        <w:jc w:val="left"/>
        <w:rPr>
          <w:rFonts w:ascii="Arial" w:hAnsi="Arial"/>
          <w:sz w:val="19"/>
        </w:rPr>
      </w:pPr>
      <w:r>
        <w:rPr>
          <w:rFonts w:ascii="Arial" w:hAnsi="Arial"/>
          <w:sz w:val="19"/>
        </w:rPr>
        <w:t xml:space="preserve">Although the Company’s redeemable convertible preferred stock is not mandatorily or currently redeemable, a liquidation or winding up of the Company could constitute an event outside its control. Therefore, all shares of redeemable convertible preferred stock have been presented outside of permanent equity due to being contingently redeemable. The redeemable convertible preferred stock is redeemable for cash or other assets upon the occurrence of a deemed liquidation event (including a change of control), which constitutes an event not solely within the Company’s control. Accordingly, the redeemable convertible preferred stock is classified outside of permanent equity and is presented as temporary equity in the balance sheets.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table presents information related to redeemable convertible preferred stock as of December 31, 2025 (in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545" w:type="dxa"/>
        <w:jc w:val="center"/>
        <w:tblInd w:w="0" w:type="dxa"/>
        <w:tblLayout w:type="fixed"/>
        <w:tblCellMar>
          <w:top w:w="0" w:type="dxa"/>
          <w:left w:w="0" w:type="dxa"/>
          <w:bottom w:w="0" w:type="dxa"/>
          <w:right w:w="0" w:type="dxa"/>
        </w:tblCellMar>
      </w:tblPr>
      <w:tblGrid>
        <w:gridCol w:w="1025"/>
        <w:gridCol w:w="120"/>
        <w:gridCol w:w="87"/>
        <w:gridCol w:w="1598"/>
        <w:gridCol w:w="60"/>
        <w:gridCol w:w="120"/>
        <w:gridCol w:w="94"/>
        <w:gridCol w:w="1741"/>
        <w:gridCol w:w="60"/>
        <w:gridCol w:w="120"/>
        <w:gridCol w:w="253"/>
        <w:gridCol w:w="1447"/>
        <w:gridCol w:w="60"/>
        <w:gridCol w:w="120"/>
        <w:gridCol w:w="204"/>
        <w:gridCol w:w="1166"/>
        <w:gridCol w:w="60"/>
        <w:gridCol w:w="120"/>
        <w:gridCol w:w="444"/>
        <w:gridCol w:w="1586"/>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340" w:type="dxa"/>
            <w:gridSpan w:val="18"/>
            <w:tcBorders>
              <w:bottom w:val="single" w:sz="2" w:space="0" w:color="000000"/>
            </w:tcBorders>
            <w:tcMar>
              <w:bottom w:w="28" w:type="dxa"/>
            </w:tcMar>
            <w:vAlign w:val="bottom"/>
          </w:tcPr>
          <w:p>
            <w:pPr>
              <w:pStyle w:val="TableContents"/>
              <w:bidi w:val="0"/>
              <w:spacing w:before="0" w:after="283"/>
              <w:jc w:val="center"/>
              <w:rPr>
                <w:b/>
              </w:rPr>
            </w:pPr>
            <w:r>
              <w:rPr>
                <w:b/>
              </w:rPr>
              <w:t>AS OF DECEMBER 31, 2025</w:t>
            </w:r>
          </w:p>
        </w:tc>
        <w:tc>
          <w:tcPr>
            <w:tcW w:w="60" w:type="dxa"/>
            <w:tcBorders/>
            <w:vAlign w:val="bottom"/>
          </w:tcPr>
          <w:p>
            <w:pPr>
              <w:pStyle w:val="TableContents"/>
              <w:bidi w:val="0"/>
              <w:spacing w:before="0" w:after="283"/>
              <w:jc w:val="left"/>
              <w:rPr/>
            </w:pPr>
            <w:r>
              <w:rPr/>
              <w:t> </w:t>
            </w:r>
          </w:p>
        </w:tc>
      </w:tr>
      <w:tr>
        <w:trPr/>
        <w:tc>
          <w:tcPr>
            <w:tcW w:w="1025"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ISSUED AND</w:t>
              <w:br/>
              <w:t>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ORIGINAL ISSUE</w:t>
              <w:br/>
              <w:t>PRICE PER</w:t>
              <w:br/>
              <w:t>SHARE</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A</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34,750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w:t>
            </w:r>
          </w:p>
        </w:tc>
        <w:tc>
          <w:tcPr>
            <w:tcW w:w="1586" w:type="dxa"/>
            <w:tcBorders/>
            <w:shd w:fill="CCEEFF" w:val="clear"/>
            <w:vAlign w:val="bottom"/>
          </w:tcPr>
          <w:p>
            <w:pPr>
              <w:pStyle w:val="TableContents"/>
              <w:bidi w:val="0"/>
              <w:spacing w:before="0" w:after="283"/>
              <w:jc w:val="right"/>
              <w:rPr/>
            </w:pPr>
            <w:r>
              <w:rPr/>
              <w:t>1.54</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sz w:val="19"/>
              </w:rPr>
            </w:pPr>
            <w:r>
              <w:rPr>
                <w:rFonts w:ascii="Arial" w:hAnsi="Arial"/>
                <w:sz w:val="19"/>
              </w:rPr>
              <w:t>Series B</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84,019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w:t>
            </w:r>
          </w:p>
        </w:tc>
        <w:tc>
          <w:tcPr>
            <w:tcW w:w="1586" w:type="dxa"/>
            <w:tcBorders/>
            <w:vAlign w:val="bottom"/>
          </w:tcPr>
          <w:p>
            <w:pPr>
              <w:pStyle w:val="TableContents"/>
              <w:bidi w:val="0"/>
              <w:spacing w:before="0" w:after="283"/>
              <w:jc w:val="right"/>
              <w:rPr/>
            </w:pPr>
            <w:r>
              <w:rPr/>
              <w:t>9.03</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C</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27,203,243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19,824,535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134,188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133,116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w:t>
            </w:r>
          </w:p>
        </w:tc>
        <w:tc>
          <w:tcPr>
            <w:tcW w:w="1586" w:type="dxa"/>
            <w:tcBorders/>
            <w:shd w:fill="CCEEFF" w:val="clear"/>
            <w:vAlign w:val="bottom"/>
          </w:tcPr>
          <w:p>
            <w:pPr>
              <w:pStyle w:val="TableContents"/>
              <w:bidi w:val="0"/>
              <w:spacing w:before="0" w:after="283"/>
              <w:jc w:val="right"/>
              <w:rPr/>
            </w:pPr>
            <w:r>
              <w:rPr/>
              <w:t> </w:t>
            </w:r>
            <w:r>
              <w:rPr/>
              <w:t>6.77</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Arial" w:hAnsi="Arial"/>
                <w:sz w:val="19"/>
              </w:rPr>
            </w:pPr>
            <w:r>
              <w:rPr>
                <w:rFonts w:ascii="Arial" w:hAnsi="Arial"/>
                <w:sz w:val="19"/>
              </w:rPr>
              <w:t>Total redeemable convertible preferred stock</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59,114,361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51,735,653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447" w:type="dxa"/>
            <w:tcBorders/>
            <w:vAlign w:val="bottom"/>
          </w:tcPr>
          <w:p>
            <w:pPr>
              <w:pStyle w:val="TableContents"/>
              <w:bidi w:val="0"/>
              <w:spacing w:before="0" w:after="283"/>
              <w:jc w:val="right"/>
              <w:rPr/>
            </w:pPr>
            <w:r>
              <w:rPr/>
              <w:t>252,957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251,602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5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4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sz w:val="4"/>
                <w:szCs w:val="4"/>
              </w:rPr>
            </w:pPr>
            <w:r>
              <w:rPr>
                <w:sz w:val="4"/>
                <w:szCs w:val="4"/>
              </w:rPr>
            </w:r>
          </w:p>
        </w:tc>
        <w:tc>
          <w:tcPr>
            <w:tcW w:w="1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On October 15, 2025, pursuant to a Series C Preferred Stock Purchase Agreement (the “Purchase Agreement”), the Company issued 13,703,310 shares of its Series C Preferred Stock at a purchase price of $6.7688 per share (the “Original Issue Price”) to multiple investors (the “Investors”) in a transaction referred to as the “Initial Closing”, resulting in gross proceeds of $92.8 million. </w:t>
      </w:r>
    </w:p>
    <w:p>
      <w:pPr>
        <w:pStyle w:val="TextBody"/>
        <w:bidi w:val="0"/>
        <w:spacing w:before="180" w:after="0"/>
        <w:jc w:val="left"/>
        <w:rPr>
          <w:rFonts w:ascii="Arial" w:hAnsi="Arial"/>
          <w:sz w:val="19"/>
        </w:rPr>
      </w:pPr>
      <w:r>
        <w:rPr>
          <w:rFonts w:ascii="Arial" w:hAnsi="Arial"/>
          <w:sz w:val="19"/>
        </w:rPr>
        <w:t xml:space="preserve">At the Initial Closing, previously issued Notes with aggregate principal and accrued interest of $41.4 million were automatically converted into 6,121,225 shares of Series C Preferred Stock at a conversion price equal to the Original Issue Price. $69.2 million of the $134.2 million Series C Preferred Stock was purchased by investors who had invested in the company prior to the Initial Closing, and are considered to be related parties. </w:t>
      </w:r>
    </w:p>
    <w:p>
      <w:pPr>
        <w:pStyle w:val="TextBody"/>
        <w:bidi w:val="0"/>
        <w:spacing w:before="180" w:after="0"/>
        <w:jc w:val="left"/>
        <w:rPr>
          <w:rFonts w:ascii="Arial" w:hAnsi="Arial"/>
          <w:sz w:val="19"/>
        </w:rPr>
      </w:pPr>
      <w:r>
        <w:rPr>
          <w:rFonts w:ascii="Arial" w:hAnsi="Arial"/>
          <w:sz w:val="19"/>
        </w:rPr>
        <w:t xml:space="preserve">The Purchase Agreement provides for a subsequent closing (the “Second Tranche Closing”) on or before the earlier of (1) October 1, 2026, or (2) the date set forth in a written election signed by the requisite investors (the “Second Tranche Requisite Investors” which means the Investors, other than defaulting investors, holding at least 60% of the then-outstanding shares, excluding any shares issued pursuant to the conversion of Notes), pursuant to which each Investor is obligated to purchase additional shares of Series C Preferred Stock at the Original Issue Price. Each Investor may elect to purchase some or all of its second tranche allocation early in one or more closings. If an investor defaults on its Second Tranche purchase obligation (a “Defaulting Investor”), all shares of the Company’s Series B redeemable convertible preferred stock (the “Series B Preferred Stock”) and Series C Preferred Stock held by such Defaulting Investor and its affiliates (the “Subject Shares”) shall automatically convert into Common Stock at a conversion price equal to one-tenth of the applicable conversion price in effect at the time of conversion (the “Special Mandatory Conversion”). The Series C Preferred Stock and the associated rights for the Second Tranche Closing were contractually linked and unable to be sold or exercised separately except in limited affiliate transfer scenarios. As such, the Second Tranche Closing was defined as an embedded feature within the Series C Preferred Stock financing rather than a freestanding instrument, and no liability was recorded for the second tranche closing in 2025. </w:t>
      </w:r>
    </w:p>
    <w:p>
      <w:pPr>
        <w:pStyle w:val="TextBody"/>
        <w:bidi w:val="0"/>
        <w:spacing w:before="180" w:after="0"/>
        <w:jc w:val="left"/>
        <w:rPr>
          <w:rFonts w:ascii="Arial" w:hAnsi="Arial"/>
          <w:sz w:val="19"/>
        </w:rPr>
      </w:pPr>
      <w:r>
        <w:rPr>
          <w:rFonts w:ascii="Arial" w:hAnsi="Arial"/>
          <w:b/>
          <w:sz w:val="19"/>
        </w:rPr>
        <w:t>Dividend:</w:t>
      </w:r>
      <w:r>
        <w:rPr>
          <w:rFonts w:ascii="Arial" w:hAnsi="Arial"/>
          <w:sz w:val="19"/>
        </w:rPr>
        <w:t xml:space="preserve"> Each holder of redeemable convertible preferred stock is entitled to receive non-cumulative dividends at the rate of 8% per annum for each share of redeemable convertible preferred stock outstanding, when, as and if declared by the Company’s Board of Directors (the “Board of Directors”). These dividends are payable in preference to common stock dividends. To date, the Company has not declared or paid any dividends. </w:t>
      </w:r>
    </w:p>
    <w:p>
      <w:pPr>
        <w:pStyle w:val="TextBody"/>
        <w:bidi w:val="0"/>
        <w:spacing w:before="180" w:after="0"/>
        <w:jc w:val="left"/>
        <w:rPr>
          <w:rFonts w:ascii="Arial" w:hAnsi="Arial"/>
          <w:sz w:val="19"/>
        </w:rPr>
      </w:pPr>
      <w:r>
        <w:rPr>
          <w:rFonts w:ascii="Arial" w:hAnsi="Arial"/>
          <w:b/>
          <w:sz w:val="19"/>
        </w:rPr>
        <w:t>Liquidation:</w:t>
      </w:r>
      <w:r>
        <w:rPr>
          <w:rFonts w:ascii="Arial" w:hAnsi="Arial"/>
          <w:sz w:val="19"/>
        </w:rPr>
        <w:t xml:space="preserve"> In the event of any liquidation event, either voluntary or involuntary, the holders of preferred stock shall be entitled to receive out of the proceeds or assets available for distribution, prior and in preference to any distributions to the holders of common stock, an amount per share equal to the sum of the applicable original issuance price, plus declared but unpaid dividends on such share. If the proceeds distributed among the holders of the preferred stock are insufficient to permit the payment to such holders, then the entire proceeds available for distribution shall be distributed ratably among the holders of preferred stock in the same proportion to respective amounts, which would be payable if paid in full. </w:t>
      </w:r>
    </w:p>
    <w:p>
      <w:pPr>
        <w:pStyle w:val="TextBody"/>
        <w:bidi w:val="0"/>
        <w:spacing w:before="180" w:after="0"/>
        <w:jc w:val="left"/>
        <w:rPr>
          <w:rFonts w:ascii="Arial" w:hAnsi="Arial"/>
          <w:sz w:val="19"/>
        </w:rPr>
      </w:pPr>
      <w:r>
        <w:rPr>
          <w:rFonts w:ascii="Arial" w:hAnsi="Arial"/>
          <w:b/>
          <w:sz w:val="19"/>
        </w:rPr>
        <w:t xml:space="preserve">Conversion for Series A and B Preferred Stock: </w:t>
      </w:r>
      <w:r>
        <w:rPr>
          <w:rFonts w:ascii="Arial" w:hAnsi="Arial"/>
          <w:sz w:val="19"/>
        </w:rPr>
        <w:t xml:space="preserve">Each share of preferred stock shall be convertible, at the option of the holder, at any time after the date of issuance of such share into such number of shares of common stock determined by dividing the original issue price for preferred stock series by the conversion price. The conversion price is the same as the original issuance price for Series A Preferred Stock and Series B Preferred Stock.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 million of gross proceeds at a minimum price per share of $6.7688, subject to adjustment in the event of a stock split; or (2) the date, or the occurrence of an event, specified by vote or written consent or agreement of the Requisite Investors (“Requisite Investors” means Investors holding at least 70% of the shares of Series B Preferred Stock and Series C Preferred Stock then outstanding (voting together as a single class and not as separate series, and on an as-converted basis). </w:t>
      </w:r>
    </w:p>
    <w:p>
      <w:pPr>
        <w:pStyle w:val="TextBody"/>
        <w:bidi w:val="0"/>
        <w:spacing w:before="180" w:after="0"/>
        <w:jc w:val="left"/>
        <w:rPr>
          <w:rFonts w:ascii="Arial" w:hAnsi="Arial"/>
          <w:sz w:val="19"/>
        </w:rPr>
      </w:pPr>
      <w:r>
        <w:rPr>
          <w:rFonts w:ascii="Arial" w:hAnsi="Arial"/>
          <w:b/>
          <w:sz w:val="19"/>
        </w:rPr>
        <w:t xml:space="preserve">Conversion for Series C Preferred Stock: </w:t>
      </w:r>
      <w:r>
        <w:rPr>
          <w:rFonts w:ascii="Arial" w:hAnsi="Arial"/>
          <w:sz w:val="19"/>
        </w:rPr>
        <w:t xml:space="preserve">Each share of preferred stock shall be convertible, at the option of the holder, at the earlier of: (1) the day after the Second Tranche Closing; (2) a Liquidation Event; (3) the termination of the Second Tranche obligation; or (4) another date designated by the Company and the Requisite Investors, excluding any shares held by defaulting investors. </w:t>
      </w:r>
    </w:p>
    <w:p>
      <w:pPr>
        <w:pStyle w:val="TextBody"/>
        <w:bidi w:val="0"/>
        <w:spacing w:before="180" w:after="0"/>
        <w:jc w:val="left"/>
        <w:rPr>
          <w:rFonts w:ascii="Arial" w:hAnsi="Arial"/>
          <w:sz w:val="19"/>
        </w:rPr>
      </w:pPr>
      <w:r>
        <w:rPr>
          <w:rFonts w:ascii="Arial" w:hAnsi="Arial"/>
          <w:sz w:val="19"/>
        </w:rPr>
        <w:t xml:space="preserve">The conversion price is the same as the original issuance price for Series C Preferred Stock. </w:t>
      </w:r>
    </w:p>
    <w:p>
      <w:pPr>
        <w:pStyle w:val="TextBody"/>
        <w:bidi w:val="0"/>
        <w:spacing w:before="18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$100.0 million of gross proceeds at a minimum price per share of $6.7688, subject to adjustment in the event of a stock split; or (2) the date, or the occurrence of an event, specified by vote or written consent or agreement of the Requisite Investors. </w:t>
      </w:r>
    </w:p>
    <w:p>
      <w:pPr>
        <w:pStyle w:val="TextBody"/>
        <w:bidi w:val="0"/>
        <w:spacing w:before="180" w:after="0"/>
        <w:jc w:val="left"/>
        <w:rPr>
          <w:rFonts w:ascii="Arial" w:hAnsi="Arial"/>
          <w:sz w:val="19"/>
        </w:rPr>
      </w:pPr>
      <w:r>
        <w:rPr>
          <w:rFonts w:ascii="Arial" w:hAnsi="Arial"/>
          <w:sz w:val="19"/>
        </w:rPr>
        <w:t xml:space="preserve">The conversion price is also subject to standard anti-dilutive adjustments for stock splits, combinations, dividends, distributions, reclassifications, and recapitalizations, as set forth in the Certificate of Incorporation. Any downward adjustment to the conversion price of the Series C Preferred Stock may be waived, prospectively or retroactively, by the consent or vote of holders of at least 60% of the then-outstanding shares of Series C Preferred Stock (voting as a single class on an as-converted basis). </w:t>
      </w:r>
    </w:p>
    <w:p>
      <w:pPr>
        <w:pStyle w:val="TextBody"/>
        <w:bidi w:val="0"/>
        <w:spacing w:before="180" w:after="0"/>
        <w:jc w:val="left"/>
        <w:rPr>
          <w:rFonts w:ascii="Arial" w:hAnsi="Arial"/>
          <w:sz w:val="19"/>
        </w:rPr>
      </w:pPr>
      <w:r>
        <w:rPr>
          <w:rFonts w:ascii="Arial" w:hAnsi="Arial"/>
          <w:b/>
          <w:sz w:val="19"/>
        </w:rPr>
        <w:t xml:space="preserve">Voting Rights: </w:t>
      </w:r>
      <w:r>
        <w:rPr>
          <w:rFonts w:ascii="Arial" w:hAnsi="Arial"/>
          <w:sz w:val="19"/>
        </w:rPr>
        <w:t xml:space="preserve">The holder of each share of preferred stock shall have the right to one vote for each share of common stock into which shares of preferred stock could then be converted. The Board of Directors of the Company is set at 7 members with 1 vacancy, appointed as follows: 2 directors from the Holders of Series B Preferred Stock, 1 director from the Holders of Series C Preferred Stock, 4 directors from the Holders of a majority of outstanding capital stock (voting together as a single class on an as-converted basis). </w:t>
      </w:r>
    </w:p>
    <w:p>
      <w:pPr>
        <w:pStyle w:val="TextBody"/>
        <w:bidi w:val="0"/>
        <w:spacing w:before="180" w:after="0"/>
        <w:jc w:val="left"/>
        <w:rPr>
          <w:rFonts w:ascii="Arial" w:hAnsi="Arial"/>
          <w:sz w:val="19"/>
        </w:rPr>
      </w:pPr>
      <w:r>
        <w:rPr>
          <w:rFonts w:ascii="Arial" w:hAnsi="Arial"/>
          <w:sz w:val="19"/>
        </w:rPr>
        <w:t xml:space="preserve">As of December 31, 2025, a deemed liquidation event was not considered probable of occurring. Accordingly, the redeemable convertible preferred stock has not been remeasured to its redemption value. The Company will reassess the probability of a deemed liquidation event and the classification and measurement of the redeemable convertible preferred stock at each reporting period end. </w:t>
      </w:r>
    </w:p>
    <w:p>
      <w:pPr>
        <w:pStyle w:val="TextBody"/>
        <w:bidi w:val="0"/>
        <w:spacing w:before="240" w:after="0"/>
        <w:jc w:val="left"/>
        <w:rPr>
          <w:rFonts w:ascii="Arial" w:hAnsi="Arial"/>
          <w:b/>
          <w:sz w:val="20"/>
        </w:rPr>
      </w:pPr>
      <w:r>
        <w:rPr>
          <w:rFonts w:ascii="Arial" w:hAnsi="Arial"/>
          <w:b/>
          <w:sz w:val="20"/>
        </w:rPr>
        <w:t xml:space="preserve">11. Stockholders’ Deficit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The Company recognized stock-based compensation in the years ended December 31, 2025 and 2024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01"/>
        <w:gridCol w:w="232"/>
        <w:gridCol w:w="155"/>
        <w:gridCol w:w="651"/>
        <w:gridCol w:w="61"/>
        <w:gridCol w:w="234"/>
        <w:gridCol w:w="155"/>
        <w:gridCol w:w="652"/>
        <w:gridCol w:w="64"/>
      </w:tblGrid>
      <w:tr>
        <w:trPr/>
        <w:tc>
          <w:tcPr>
            <w:tcW w:w="8001"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00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90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80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expense – PI Units</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123</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258</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Research and development expense – Options</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746</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729</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 expense</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869</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987</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General and administrative expense – PI Units</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357</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795</w:t>
            </w:r>
          </w:p>
        </w:tc>
        <w:tc>
          <w:tcPr>
            <w:tcW w:w="64" w:type="dxa"/>
            <w:tcBorders/>
            <w:vAlign w:val="bottom"/>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 expense – Options</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548</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527</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tcPr>
          <w:p>
            <w:pPr>
              <w:pStyle w:val="TableContents"/>
              <w:bidi w:val="0"/>
              <w:spacing w:before="0" w:after="0"/>
              <w:jc w:val="left"/>
              <w:rPr>
                <w:rFonts w:ascii="Arial" w:hAnsi="Arial"/>
                <w:sz w:val="19"/>
              </w:rPr>
            </w:pPr>
            <w:r>
              <w:rPr>
                <w:rFonts w:ascii="Arial" w:hAnsi="Arial"/>
                <w:sz w:val="19"/>
              </w:rPr>
              <w:t>Total general and administrative expense</w:t>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905</w:t>
            </w:r>
          </w:p>
        </w:tc>
        <w:tc>
          <w:tcPr>
            <w:tcW w:w="6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1,322</w:t>
            </w:r>
          </w:p>
        </w:tc>
        <w:tc>
          <w:tcPr>
            <w:tcW w:w="64" w:type="dxa"/>
            <w:tcBorders/>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01" w:type="dxa"/>
            <w:tcBorders/>
            <w:shd w:fill="CCEEFF" w:val="clear"/>
          </w:tcPr>
          <w:p>
            <w:pPr>
              <w:pStyle w:val="TableContents"/>
              <w:bidi w:val="0"/>
              <w:spacing w:before="0" w:after="0"/>
              <w:jc w:val="left"/>
              <w:rPr>
                <w:rFonts w:ascii="Arial" w:hAnsi="Arial"/>
                <w:sz w:val="19"/>
              </w:rPr>
            </w:pPr>
            <w:r>
              <w:rPr>
                <w:rFonts w:ascii="Arial" w:hAnsi="Arial"/>
                <w:sz w:val="19"/>
              </w:rPr>
              <w:t>Total stock-based compensation expense</w:t>
            </w:r>
          </w:p>
        </w:tc>
        <w:tc>
          <w:tcPr>
            <w:tcW w:w="232"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 </w:t>
            </w:r>
            <w:r>
              <w:rPr/>
              <w:t>1,774</w:t>
            </w:r>
          </w:p>
        </w:tc>
        <w:tc>
          <w:tcPr>
            <w:tcW w:w="61"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 </w:t>
            </w:r>
            <w:r>
              <w:rPr/>
              <w:t>2,309</w:t>
            </w:r>
          </w:p>
        </w:tc>
        <w:tc>
          <w:tcPr>
            <w:tcW w:w="64" w:type="dxa"/>
            <w:tcBorders/>
            <w:shd w:fill="CCEEFF" w:val="clear"/>
            <w:vAlign w:val="bottom"/>
          </w:tcPr>
          <w:p>
            <w:pPr>
              <w:pStyle w:val="TableContents"/>
              <w:bidi w:val="0"/>
              <w:spacing w:before="0" w:after="283"/>
              <w:jc w:val="left"/>
              <w:rPr/>
            </w:pPr>
            <w:r>
              <w:rPr/>
              <w:t> </w:t>
            </w:r>
          </w:p>
        </w:tc>
      </w:tr>
      <w:tr>
        <w:trPr/>
        <w:tc>
          <w:tcPr>
            <w:tcW w:w="8001"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5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19"/>
        </w:rPr>
      </w:pPr>
      <w:r>
        <w:rPr>
          <w:rFonts w:ascii="Arial" w:hAnsi="Arial"/>
          <w:i/>
          <w:sz w:val="19"/>
        </w:rPr>
        <w:t xml:space="preserve">Profits Interest Units </w:t>
      </w:r>
    </w:p>
    <w:p>
      <w:pPr>
        <w:pStyle w:val="TextBody"/>
        <w:bidi w:val="0"/>
        <w:spacing w:before="40" w:after="0"/>
        <w:jc w:val="left"/>
        <w:rPr>
          <w:rFonts w:ascii="Arial" w:hAnsi="Arial"/>
          <w:sz w:val="19"/>
        </w:rPr>
      </w:pPr>
      <w:r>
        <w:rPr>
          <w:rFonts w:ascii="Arial" w:hAnsi="Arial"/>
          <w:sz w:val="19"/>
        </w:rPr>
        <w:t xml:space="preserve">In December 2018, Star LLC adopted the 2018 Equity Incentive Plan (the “Star LLC Plan”) pursuant to which it could grant profits interest unit awards to its employees, managers, and consultants, including those hired and engaged by its affiliated entities. In June 2023, Star LLC’s members formed Electra Therapeutics LLC (“Electra LLC”) and contributed their Series A redeemable convertible preferred shares to Electra LLC in exchange for the Series B preferred units, Series A preferred units, Series Seed preferred units, and common units of Electra LLC. This transaction transferred all of Star LLC’s equity ownership in the Company to Electra LLC, a sister company of Star LLC immediately after the spin-off. In connection with the spin-off, Electra LLC adopted the 2023 Equity Incentive Plan (the “Electra LLC Plan”) and granted profits interest units (“PI Units”) to Star LLC’s profits interest unit holders who supported the operations of Electra through the ISA. On December 31, 2023, Star LLC terminated 16 employees who were immediately employed by Electra, effective January 1, 2024. On January 1, 2024, the 4.5 million PI Units previously awarded to these holders for services rendered under the MISA were remeasured with a weighted average fair value of $1.04 per PI Unit. All other terms of the PI Units remained the same. The total value of the PI Units under the Electra LLC Plan that vested during the years ended December 31, 2025 and 2024 was recorded by the Company as stock-based compensation expense in the amount of $0.3 million and $1.0 million, respectively. Under the provisions of the Electra LLC Plan, the board of managers of Electra LLC (the “Board of Managers”) may grant PI Units to its employees, managers, and consultants, including those hired and engaged by its affiliated entities (collectively, the “Participants”). PI Units are common units issued to Participants with a threshold amount. In the event of distribution by Electra LLC, the proceeds distributed to the holder would be reduced by the threshold amount. PI Units are economically similar to a stock option award and vest based on time or performance-based milestones, as determined by the Board of Managers of Electra LLC and stipulated in the grant agreements. </w:t>
      </w:r>
    </w:p>
    <w:p>
      <w:pPr>
        <w:pStyle w:val="TextBody"/>
        <w:bidi w:val="0"/>
        <w:spacing w:before="180" w:after="0"/>
        <w:jc w:val="left"/>
        <w:rPr>
          <w:rFonts w:ascii="Arial" w:hAnsi="Arial"/>
          <w:sz w:val="19"/>
        </w:rPr>
      </w:pPr>
      <w:r>
        <w:rPr>
          <w:rFonts w:ascii="Arial" w:hAnsi="Arial"/>
          <w:sz w:val="19"/>
        </w:rPr>
        <w:t xml:space="preserve">Profits interest units generally vest 25% after one year, with the remainder vesting monthly over the following three-year period. The underlying terms and intended purpose of the PI Units are more akin to stock-based compensation for employees and non-employees than a performance bonus or profit-sharing arrangement. </w:t>
      </w:r>
    </w:p>
    <w:p>
      <w:pPr>
        <w:pStyle w:val="TextBody"/>
        <w:bidi w:val="0"/>
        <w:spacing w:before="240" w:after="0"/>
        <w:jc w:val="left"/>
        <w:rPr>
          <w:rFonts w:ascii="Arial" w:hAnsi="Arial"/>
          <w:i/>
          <w:sz w:val="19"/>
        </w:rPr>
      </w:pPr>
      <w:r>
        <w:rPr>
          <w:rFonts w:ascii="Arial" w:hAnsi="Arial"/>
          <w:i/>
          <w:sz w:val="19"/>
        </w:rPr>
        <w:t xml:space="preserve">Determination of Fair Value </w:t>
      </w:r>
    </w:p>
    <w:p>
      <w:pPr>
        <w:pStyle w:val="TextBody"/>
        <w:bidi w:val="0"/>
        <w:spacing w:before="40" w:after="0"/>
        <w:jc w:val="left"/>
        <w:rPr>
          <w:rFonts w:ascii="Arial" w:hAnsi="Arial"/>
          <w:sz w:val="19"/>
        </w:rPr>
      </w:pPr>
      <w:r>
        <w:rPr>
          <w:rFonts w:ascii="Arial" w:hAnsi="Arial"/>
          <w:sz w:val="19"/>
        </w:rPr>
        <w:t xml:space="preserve">The estimated grant-date fair value of the PI Units was calculated using the Black-Scholes option pricing model, based on the following assumptions: </w:t>
      </w:r>
    </w:p>
    <w:p>
      <w:pPr>
        <w:pStyle w:val="TextBody"/>
        <w:bidi w:val="0"/>
        <w:spacing w:before="180" w:after="0"/>
        <w:jc w:val="left"/>
        <w:rPr>
          <w:rFonts w:ascii="Arial" w:hAnsi="Arial"/>
          <w:sz w:val="19"/>
        </w:rPr>
      </w:pPr>
      <w:r>
        <w:rPr>
          <w:rFonts w:ascii="Arial" w:hAnsi="Arial"/>
          <w:b/>
          <w:sz w:val="19"/>
        </w:rPr>
        <w:t>Fair Value</w:t>
      </w:r>
      <w:r>
        <w:rPr>
          <w:rFonts w:ascii="Arial" w:hAnsi="Arial"/>
          <w:sz w:val="19"/>
        </w:rPr>
        <w:t xml:space="preserve"> – The fair value of Electra LLC was determined on January 1, 2024 (modification date), and thereafter when there has been a grant by the Board of Managers with the assistance of third-party valuation specialists. Because there has been no public market for the Company’s common units to determine the enterprise value, the Board of Managers exercised reasonable judgment and considered a number of objective and subjective factors to determine the best estimate of the fair market value, which included important developments in the Company’s operations, the prices at which Electra LLC sold its convertible preferred units, the rights, preferences and privileges of Electra LLC’s convertible preferred units relative to those of Electra LLC’s common units, actual operating results, financial performance, external market conditions in the life sciences industry, general U.S. market conditions, equity valuations of comparable public companies, and the lack of marketability of Electra LLC’s common units. </w:t>
      </w:r>
    </w:p>
    <w:p>
      <w:pPr>
        <w:pStyle w:val="TextBody"/>
        <w:bidi w:val="0"/>
        <w:spacing w:before="180" w:after="0"/>
        <w:jc w:val="left"/>
        <w:rPr>
          <w:rFonts w:ascii="Arial" w:hAnsi="Arial"/>
          <w:sz w:val="19"/>
        </w:rPr>
      </w:pPr>
      <w:r>
        <w:rPr>
          <w:rFonts w:ascii="Arial" w:hAnsi="Arial"/>
          <w:b/>
          <w:sz w:val="19"/>
        </w:rPr>
        <w:t>Expected Term</w:t>
      </w:r>
      <w:r>
        <w:rPr>
          <w:rFonts w:ascii="Arial" w:hAnsi="Arial"/>
          <w:sz w:val="19"/>
        </w:rPr>
        <w:t xml:space="preserve"> – The expected term was estimated based on management’s expectations for a future liquidity event of Electra LLC. </w:t>
      </w:r>
    </w:p>
    <w:p>
      <w:pPr>
        <w:pStyle w:val="TextBody"/>
        <w:bidi w:val="0"/>
        <w:spacing w:before="180" w:after="0"/>
        <w:jc w:val="left"/>
        <w:rPr>
          <w:rFonts w:ascii="Arial" w:hAnsi="Arial"/>
          <w:sz w:val="19"/>
        </w:rPr>
      </w:pPr>
      <w:r>
        <w:rPr>
          <w:rFonts w:ascii="Arial" w:hAnsi="Arial"/>
          <w:b/>
          <w:sz w:val="19"/>
        </w:rPr>
        <w:t>Expected Volatility</w:t>
      </w:r>
      <w:r>
        <w:rPr>
          <w:rFonts w:ascii="Arial" w:hAnsi="Arial"/>
          <w:sz w:val="19"/>
        </w:rPr>
        <w:t xml:space="preserve"> – The Company had limited information on the volatility of PI Units as the units were not actively traded on any public markets. The expected volatility was derived from the historical unit volatilities of comparable peer public companies. </w:t>
      </w:r>
    </w:p>
    <w:p>
      <w:pPr>
        <w:pStyle w:val="TextBody"/>
        <w:bidi w:val="0"/>
        <w:spacing w:before="180" w:after="0"/>
        <w:jc w:val="left"/>
        <w:rPr>
          <w:rFonts w:ascii="Arial" w:hAnsi="Arial"/>
          <w:sz w:val="19"/>
        </w:rPr>
      </w:pPr>
      <w:r>
        <w:rPr>
          <w:rFonts w:ascii="Arial" w:hAnsi="Arial"/>
          <w:b/>
          <w:sz w:val="19"/>
        </w:rPr>
        <w:t>Risk-Free Interest Rate</w:t>
      </w:r>
      <w:r>
        <w:rPr>
          <w:rFonts w:ascii="Arial" w:hAnsi="Arial"/>
          <w:sz w:val="19"/>
        </w:rPr>
        <w:t xml:space="preserve"> – The risk-free interest rate was based on the U.S. Treasury yield curve in effect at the date of grant for zero-coupon U.S. Treasury notes with maturities approximately equal to the PI Units’ and unit options expected term. </w:t>
      </w:r>
    </w:p>
    <w:p>
      <w:pPr>
        <w:pStyle w:val="TextBody"/>
        <w:bidi w:val="0"/>
        <w:spacing w:before="180" w:after="0"/>
        <w:jc w:val="left"/>
        <w:rPr>
          <w:rFonts w:ascii="Arial" w:hAnsi="Arial"/>
          <w:sz w:val="19"/>
        </w:rPr>
      </w:pPr>
      <w:r>
        <w:rPr>
          <w:rFonts w:ascii="Arial" w:hAnsi="Arial"/>
          <w:b/>
          <w:sz w:val="19"/>
        </w:rPr>
        <w:t>Discount for Lack of Marketability</w:t>
      </w:r>
      <w:r>
        <w:rPr>
          <w:rFonts w:ascii="Arial" w:hAnsi="Arial"/>
          <w:sz w:val="19"/>
        </w:rPr>
        <w:t xml:space="preserve"> – Since the PI Units are interests in a closely held entity, the Company also considered appropriate adjustments to recognize the lack of marketability inherently present in interests of this type. The concluded adjustments for lack of marketability were supported by put option analyses.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No PI Units were granted during the year ended December 31, 2025. There were 1,211,639 PI Units granted in 2024 which have a threshold price of $1.77 per share and a weighted-average grant date fair value of $0.83 per share. The table below summarizes the assumptions used to determine the grant-date fair value of the PI Units granted in the year ended December 31, 2024.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25"/>
        <w:gridCol w:w="738"/>
        <w:gridCol w:w="133"/>
        <w:gridCol w:w="2232"/>
        <w:gridCol w:w="277"/>
      </w:tblGrid>
      <w:tr>
        <w:trPr/>
        <w:tc>
          <w:tcPr>
            <w:tcW w:w="6825" w:type="dxa"/>
            <w:tcBorders/>
            <w:vAlign w:val="center"/>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6825"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left"/>
              <w:rPr/>
            </w:pPr>
            <w:r>
              <w:rPr/>
              <w:t>  </w:t>
            </w:r>
          </w:p>
        </w:tc>
        <w:tc>
          <w:tcPr>
            <w:tcW w:w="2365" w:type="dxa"/>
            <w:gridSpan w:val="2"/>
            <w:tcBorders>
              <w:bottom w:val="single" w:sz="2" w:space="0" w:color="000000"/>
            </w:tcBorders>
            <w:tcMar>
              <w:bottom w:w="28" w:type="dxa"/>
            </w:tcMar>
            <w:vAlign w:val="bottom"/>
          </w:tcPr>
          <w:p>
            <w:pPr>
              <w:pStyle w:val="TableContents"/>
              <w:bidi w:val="0"/>
              <w:spacing w:before="0" w:after="283"/>
              <w:jc w:val="center"/>
              <w:rPr/>
            </w:pPr>
            <w:r>
              <w:rPr>
                <w:b/>
              </w:rPr>
              <w:t>YEAR ENDED</w:t>
            </w:r>
            <w:r>
              <w:rPr/>
              <w:br/>
            </w:r>
            <w:r>
              <w:rPr>
                <w:b/>
              </w:rPr>
              <w:t>DECEMBER 31, 2024</w:t>
            </w:r>
          </w:p>
        </w:tc>
        <w:tc>
          <w:tcPr>
            <w:tcW w:w="277"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Arial" w:hAnsi="Arial"/>
                <w:sz w:val="19"/>
              </w:rPr>
            </w:pPr>
            <w:r>
              <w:rPr>
                <w:rFonts w:ascii="Arial" w:hAnsi="Arial"/>
                <w:sz w:val="19"/>
              </w:rPr>
              <w:t>Expected term</w:t>
            </w:r>
          </w:p>
        </w:tc>
        <w:tc>
          <w:tcPr>
            <w:tcW w:w="73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283"/>
              <w:jc w:val="right"/>
              <w:rPr/>
            </w:pPr>
            <w:r>
              <w:rPr/>
              <w:t>1.52 years</w:t>
            </w:r>
          </w:p>
        </w:tc>
        <w:tc>
          <w:tcPr>
            <w:tcW w:w="277"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Arial" w:hAnsi="Arial"/>
                <w:sz w:val="19"/>
              </w:rPr>
            </w:pPr>
            <w:r>
              <w:rPr>
                <w:rFonts w:ascii="Arial" w:hAnsi="Arial"/>
                <w:sz w:val="19"/>
              </w:rPr>
              <w:t>Expected volatility</w:t>
            </w:r>
          </w:p>
        </w:tc>
        <w:tc>
          <w:tcPr>
            <w:tcW w:w="73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283"/>
              <w:jc w:val="right"/>
              <w:rPr/>
            </w:pPr>
            <w:r>
              <w:rPr/>
              <w:t>90.0</w:t>
            </w:r>
          </w:p>
        </w:tc>
        <w:tc>
          <w:tcPr>
            <w:tcW w:w="277" w:type="dxa"/>
            <w:tcBorders/>
            <w:vAlign w:val="bottom"/>
          </w:tcPr>
          <w:p>
            <w:pPr>
              <w:pStyle w:val="TableContents"/>
              <w:bidi w:val="0"/>
              <w:spacing w:before="0" w:after="283"/>
              <w:jc w:val="left"/>
              <w:rPr/>
            </w:pPr>
            <w:r>
              <w:rPr/>
              <w:t>% </w:t>
            </w:r>
          </w:p>
        </w:tc>
      </w:tr>
      <w:tr>
        <w:trPr/>
        <w:tc>
          <w:tcPr>
            <w:tcW w:w="6825" w:type="dxa"/>
            <w:tcBorders/>
            <w:shd w:fill="CCEEFF" w:val="clear"/>
          </w:tcPr>
          <w:p>
            <w:pPr>
              <w:pStyle w:val="TableContents"/>
              <w:bidi w:val="0"/>
              <w:spacing w:before="0" w:after="0"/>
              <w:jc w:val="left"/>
              <w:rPr>
                <w:rFonts w:ascii="Arial" w:hAnsi="Arial"/>
                <w:sz w:val="19"/>
              </w:rPr>
            </w:pPr>
            <w:r>
              <w:rPr>
                <w:rFonts w:ascii="Arial" w:hAnsi="Arial"/>
                <w:sz w:val="19"/>
              </w:rPr>
              <w:t>Risk-free interest rate</w:t>
            </w:r>
          </w:p>
        </w:tc>
        <w:tc>
          <w:tcPr>
            <w:tcW w:w="73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283"/>
              <w:jc w:val="right"/>
              <w:rPr/>
            </w:pPr>
            <w:r>
              <w:rPr/>
              <w:t>4.93</w:t>
            </w:r>
          </w:p>
        </w:tc>
        <w:tc>
          <w:tcPr>
            <w:tcW w:w="277" w:type="dxa"/>
            <w:tcBorders/>
            <w:shd w:fill="CCEEFF" w:val="clear"/>
            <w:vAlign w:val="bottom"/>
          </w:tcPr>
          <w:p>
            <w:pPr>
              <w:pStyle w:val="TableContents"/>
              <w:bidi w:val="0"/>
              <w:spacing w:before="0" w:after="283"/>
              <w:jc w:val="left"/>
              <w:rPr/>
            </w:pPr>
            <w:r>
              <w:rPr/>
              <w:t>% </w:t>
            </w:r>
          </w:p>
        </w:tc>
      </w:tr>
      <w:tr>
        <w:trPr/>
        <w:tc>
          <w:tcPr>
            <w:tcW w:w="6825" w:type="dxa"/>
            <w:tcBorders/>
          </w:tcPr>
          <w:p>
            <w:pPr>
              <w:pStyle w:val="TableContents"/>
              <w:bidi w:val="0"/>
              <w:spacing w:before="0" w:after="0"/>
              <w:jc w:val="left"/>
              <w:rPr>
                <w:rFonts w:ascii="Arial" w:hAnsi="Arial"/>
                <w:sz w:val="19"/>
              </w:rPr>
            </w:pPr>
            <w:r>
              <w:rPr>
                <w:rFonts w:ascii="Arial" w:hAnsi="Arial"/>
                <w:sz w:val="19"/>
              </w:rPr>
              <w:t>Discount for lack of marketability</w:t>
            </w:r>
          </w:p>
        </w:tc>
        <w:tc>
          <w:tcPr>
            <w:tcW w:w="73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283"/>
              <w:jc w:val="right"/>
              <w:rPr/>
            </w:pPr>
            <w:r>
              <w:rPr/>
              <w:t>34.5</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i/>
          <w:sz w:val="19"/>
        </w:rPr>
      </w:pPr>
      <w:r>
        <w:rPr>
          <w:rFonts w:ascii="Arial" w:hAnsi="Arial"/>
          <w:i/>
          <w:sz w:val="19"/>
        </w:rPr>
        <w:t xml:space="preserve">Stock Incentive Plan </w:t>
      </w:r>
    </w:p>
    <w:p>
      <w:pPr>
        <w:pStyle w:val="TextBody"/>
        <w:bidi w:val="0"/>
        <w:spacing w:before="80" w:after="0"/>
        <w:jc w:val="left"/>
        <w:rPr>
          <w:rFonts w:ascii="Arial" w:hAnsi="Arial"/>
          <w:sz w:val="19"/>
        </w:rPr>
      </w:pPr>
      <w:r>
        <w:rPr>
          <w:rFonts w:ascii="Arial" w:hAnsi="Arial"/>
          <w:sz w:val="19"/>
        </w:rPr>
        <w:t xml:space="preserve">In 2022, the Board of Directors approved the adoption of the 2022 Stock Plan (the “Plan”). The Plan allows for the award of incentive and non-qualified stock options and restricted stock to employees, outside directors, and consultants of the Company. A total of 8,495,719 and 3,545,680 shares of Common Stock were reserved for issuance under the Plan as of December 31, 2025 and 2024, respectively. As of December 31, 2025, 102,064 shares were available for award under the Plan. The Board of Directors administers the Plan and determines the exercise price of options, purchase price for restricted stock, the rates at which awards vest, and the other terms and conditions of the awards. Options and restricted stock generally vest 25% upon the first anniversary of the grant date and an additional 1/48th of the shares vest each month of continuous service thereafter for 36 months, and expire 10 years from the date of grant. Stock options are eligible for early exercise. No tax benefits were realized from options and other share-based payment arrangements during the year. </w:t>
      </w:r>
    </w:p>
    <w:p>
      <w:pPr>
        <w:pStyle w:val="TextBody"/>
        <w:bidi w:val="0"/>
        <w:spacing w:before="180" w:after="0"/>
        <w:jc w:val="left"/>
        <w:rPr>
          <w:rFonts w:ascii="Arial" w:hAnsi="Arial"/>
          <w:sz w:val="19"/>
        </w:rPr>
      </w:pPr>
      <w:r>
        <w:rPr>
          <w:rFonts w:ascii="Arial" w:hAnsi="Arial"/>
          <w:sz w:val="19"/>
        </w:rPr>
        <w:t xml:space="preserve">The Company grants stock options at exercise prices deemed by the Board of Directors to be equal to the fair value of the common stock at the time of grant. The fair value of common stock has been determined by the Board of Directors at each stock option measurement date based on a variety of different factors, including contemporaneous independent valuations performed by an independent third-party valuation firm; the prices per share of redeemable convertible preferred stock sold to investors in arm’s length transactions, and the rights, preferences, and privileges of the redeemable convertible preferred stock relative to the Company’s common stock; the Company’s stage of development and material risks related to the business; results of operations and financial position, including levels of available capital resources; progress of research and development activities; the lack of marketability of the Company’s common stock as a private company; the status of strategic transactions; the hiring of key personnel and the experience of management; the likelihood and timing of achieving a liquidity event, such as an initial public offering or a sale of the Company, given prevailing market conditions; market performance of comparable publicly traded companies; trends and developments in the life sciences and biopharmaceutical industry; and external market conditions affecting the industry sector. </w:t>
      </w:r>
    </w:p>
    <w:p>
      <w:pPr>
        <w:pStyle w:val="TextBody"/>
        <w:bidi w:val="0"/>
        <w:spacing w:before="180" w:after="0"/>
        <w:jc w:val="left"/>
        <w:rPr>
          <w:rFonts w:ascii="Arial" w:hAnsi="Arial"/>
          <w:sz w:val="19"/>
        </w:rPr>
      </w:pPr>
      <w:r>
        <w:rPr>
          <w:rFonts w:ascii="Arial" w:hAnsi="Arial"/>
          <w:sz w:val="19"/>
        </w:rPr>
        <w:t xml:space="preserve">During the years ended December 31, 2025 and 2024, the Company calculated the value of the stock options using the Black-Scholes option pricing model with the following assumptions: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0"/>
        <w:gridCol w:w="297"/>
        <w:gridCol w:w="64"/>
        <w:gridCol w:w="1741"/>
        <w:gridCol w:w="297"/>
        <w:gridCol w:w="303"/>
        <w:gridCol w:w="64"/>
        <w:gridCol w:w="1742"/>
        <w:gridCol w:w="287"/>
      </w:tblGrid>
      <w:tr>
        <w:trPr/>
        <w:tc>
          <w:tcPr>
            <w:tcW w:w="541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41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421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287" w:type="dxa"/>
            <w:tcBorders/>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0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80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287"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19"/>
              </w:rPr>
            </w:pPr>
            <w:r>
              <w:rPr>
                <w:rFonts w:ascii="Arial" w:hAnsi="Arial"/>
                <w:sz w:val="19"/>
              </w:rPr>
              <w:t>Expected term (in years)</w:t>
            </w:r>
          </w:p>
        </w:tc>
        <w:tc>
          <w:tcPr>
            <w:tcW w:w="2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5.70 - 6.08</w:t>
            </w:r>
          </w:p>
        </w:tc>
        <w:tc>
          <w:tcPr>
            <w:tcW w:w="29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6.08</w:t>
            </w:r>
          </w:p>
        </w:tc>
        <w:tc>
          <w:tcPr>
            <w:tcW w:w="287"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19"/>
              </w:rPr>
            </w:pPr>
            <w:r>
              <w:rPr>
                <w:rFonts w:ascii="Arial" w:hAnsi="Arial"/>
                <w:sz w:val="19"/>
              </w:rPr>
              <w:t>Expected volatility</w:t>
            </w:r>
          </w:p>
        </w:tc>
        <w:tc>
          <w:tcPr>
            <w:tcW w:w="29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93.1% - 103.4</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94.9% - 103.5</w:t>
            </w:r>
          </w:p>
        </w:tc>
        <w:tc>
          <w:tcPr>
            <w:tcW w:w="287"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19"/>
              </w:rPr>
            </w:pPr>
            <w:r>
              <w:rPr>
                <w:rFonts w:ascii="Arial" w:hAnsi="Arial"/>
                <w:sz w:val="19"/>
              </w:rPr>
              <w:t>Expected dividend yield</w:t>
            </w:r>
          </w:p>
        </w:tc>
        <w:tc>
          <w:tcPr>
            <w:tcW w:w="2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w:t>
            </w:r>
          </w:p>
        </w:tc>
        <w:tc>
          <w:tcPr>
            <w:tcW w:w="29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19"/>
              </w:rPr>
            </w:pPr>
            <w:r>
              <w:rPr>
                <w:rFonts w:ascii="Arial" w:hAnsi="Arial"/>
                <w:sz w:val="19"/>
              </w:rPr>
              <w:t>Risk-free interest rate</w:t>
            </w:r>
          </w:p>
        </w:tc>
        <w:tc>
          <w:tcPr>
            <w:tcW w:w="29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3.8% - 4.4</w:t>
            </w:r>
          </w:p>
        </w:tc>
        <w:tc>
          <w:tcPr>
            <w:tcW w:w="29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42" w:type="dxa"/>
            <w:tcBorders/>
            <w:vAlign w:val="bottom"/>
          </w:tcPr>
          <w:p>
            <w:pPr>
              <w:pStyle w:val="TableContents"/>
              <w:bidi w:val="0"/>
              <w:spacing w:before="0" w:after="283"/>
              <w:jc w:val="right"/>
              <w:rPr/>
            </w:pPr>
            <w:r>
              <w:rPr/>
              <w:t>3.9% - 4.5</w:t>
            </w:r>
          </w:p>
        </w:tc>
        <w:tc>
          <w:tcPr>
            <w:tcW w:w="28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 – using the simplified method which calculates the expected term as the average of the time-to-vesting and the contractual life of the stock options.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Volatility – based on a study of publicly traded industry peer companies which were identified based on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Dividend Yield – assuming the expected dividend yield is zero, as the Company has no history or expectation of paying cash dividends on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Risk-Free Interest Rate – based on the yield available on U.S. Treasury zero-coupon issues similar in duration to the expected term of the award. </w:t>
            </w:r>
          </w:p>
        </w:tc>
      </w:tr>
    </w:tbl>
    <w:p>
      <w:pPr>
        <w:pStyle w:val="TextBody"/>
        <w:bidi w:val="0"/>
        <w:spacing w:before="180" w:after="0"/>
        <w:jc w:val="left"/>
        <w:rPr>
          <w:rFonts w:ascii="Arial" w:hAnsi="Arial"/>
          <w:sz w:val="19"/>
        </w:rPr>
      </w:pPr>
      <w:r>
        <w:rPr>
          <w:rFonts w:ascii="Arial" w:hAnsi="Arial"/>
          <w:sz w:val="19"/>
        </w:rPr>
        <w:t xml:space="preserve">The Company records stock-based compensation expense on options as they vest and records forfeitures as they occur. </w:t>
      </w:r>
    </w:p>
    <w:p>
      <w:pPr>
        <w:pStyle w:val="TextBody"/>
        <w:bidi w:val="0"/>
        <w:spacing w:before="180" w:after="0"/>
        <w:jc w:val="left"/>
        <w:rPr>
          <w:rFonts w:ascii="Arial" w:hAnsi="Arial"/>
          <w:sz w:val="19"/>
        </w:rPr>
      </w:pPr>
      <w:r>
        <w:rPr>
          <w:rFonts w:ascii="Arial" w:hAnsi="Arial"/>
          <w:sz w:val="19"/>
        </w:rPr>
        <w:t xml:space="preserve">The option activity of the Plan for the year ended December 31, 2025 was as follows: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1245" w:type="dxa"/>
        <w:jc w:val="center"/>
        <w:tblInd w:w="0" w:type="dxa"/>
        <w:tblLayout w:type="fixed"/>
        <w:tblCellMar>
          <w:top w:w="0" w:type="dxa"/>
          <w:left w:w="0" w:type="dxa"/>
          <w:bottom w:w="0" w:type="dxa"/>
          <w:right w:w="0" w:type="dxa"/>
        </w:tblCellMar>
      </w:tblPr>
      <w:tblGrid>
        <w:gridCol w:w="2090"/>
        <w:gridCol w:w="120"/>
        <w:gridCol w:w="132"/>
        <w:gridCol w:w="1928"/>
        <w:gridCol w:w="155"/>
        <w:gridCol w:w="60"/>
        <w:gridCol w:w="64"/>
        <w:gridCol w:w="1051"/>
        <w:gridCol w:w="155"/>
        <w:gridCol w:w="60"/>
        <w:gridCol w:w="352"/>
        <w:gridCol w:w="1108"/>
        <w:gridCol w:w="60"/>
        <w:gridCol w:w="120"/>
        <w:gridCol w:w="234"/>
        <w:gridCol w:w="1721"/>
        <w:gridCol w:w="60"/>
        <w:gridCol w:w="120"/>
        <w:gridCol w:w="429"/>
        <w:gridCol w:w="1166"/>
        <w:gridCol w:w="6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90" w:type="dxa"/>
            <w:vMerge w:val="restart"/>
            <w:tcBorders/>
            <w:vAlign w:val="bottom"/>
          </w:tcPr>
          <w:p>
            <w:pPr>
              <w:pStyle w:val="TableContents"/>
              <w:pBdr>
                <w:bottom w:val="single" w:sz="2" w:space="1" w:color="000000"/>
              </w:pBdr>
              <w:bidi w:val="0"/>
              <w:spacing w:before="0" w:after="0"/>
              <w:jc w:val="left"/>
              <w:rPr>
                <w:rFonts w:ascii="Arial" w:hAnsi="Arial"/>
                <w:b/>
                <w:sz w:val="16"/>
              </w:rPr>
            </w:pPr>
            <w:r>
              <w:rPr>
                <w:rFonts w:ascii="Arial" w:hAnsi="Arial"/>
                <w:b/>
                <w:sz w:val="16"/>
              </w:rPr>
              <w:t>STOCK OPTION ACTIVITY</w:t>
            </w:r>
          </w:p>
        </w:tc>
        <w:tc>
          <w:tcPr>
            <w:tcW w:w="120" w:type="dxa"/>
            <w:tcBorders/>
            <w:vAlign w:val="bottom"/>
          </w:tcPr>
          <w:p>
            <w:pPr>
              <w:pStyle w:val="TableContents"/>
              <w:bidi w:val="0"/>
              <w:spacing w:before="0" w:after="283"/>
              <w:jc w:val="left"/>
              <w:rPr/>
            </w:pPr>
            <w:r>
              <w:rPr/>
              <w:t>  </w:t>
            </w:r>
          </w:p>
        </w:tc>
        <w:tc>
          <w:tcPr>
            <w:tcW w:w="8975" w:type="dxa"/>
            <w:gridSpan w:val="18"/>
            <w:tcBorders>
              <w:bottom w:val="single" w:sz="2" w:space="0" w:color="000000"/>
            </w:tcBorders>
            <w:tcMar>
              <w:bottom w:w="28" w:type="dxa"/>
            </w:tcMar>
            <w:vAlign w:val="bottom"/>
          </w:tcPr>
          <w:p>
            <w:pPr>
              <w:pStyle w:val="TableContents"/>
              <w:bidi w:val="0"/>
              <w:spacing w:before="0" w:after="283"/>
              <w:jc w:val="center"/>
              <w:rPr>
                <w:b/>
              </w:rPr>
            </w:pPr>
            <w:r>
              <w:rPr>
                <w:b/>
              </w:rPr>
              <w:t>OPTIONS OUTSTANDING</w:t>
            </w:r>
          </w:p>
        </w:tc>
        <w:tc>
          <w:tcPr>
            <w:tcW w:w="60" w:type="dxa"/>
            <w:tcBorders/>
            <w:vAlign w:val="bottom"/>
          </w:tcPr>
          <w:p>
            <w:pPr>
              <w:pStyle w:val="TableContents"/>
              <w:bidi w:val="0"/>
              <w:spacing w:before="0" w:after="283"/>
              <w:jc w:val="left"/>
              <w:rPr/>
            </w:pPr>
            <w:r>
              <w:rPr/>
              <w:t> </w:t>
            </w:r>
          </w:p>
        </w:tc>
      </w:tr>
      <w:tr>
        <w:trPr/>
        <w:tc>
          <w:tcPr>
            <w:tcW w:w="209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0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AVAILABLE FOR</w:t>
              <w:br/>
              <w:t>GRANT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EXERCISE</w:t>
              <w:br/>
              <w:t>PRICE PER</w:t>
              <w:br/>
              <w:t>SHARE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w:t>
              <w:br/>
              <w:t>YEARS)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AGGREGATE</w:t>
              <w:br/>
              <w:t>INTRINSIC</w:t>
              <w:br/>
              <w:t>VALUE (IN</w:t>
              <w:br/>
              <w:t>THOUSANDS)</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2024</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right"/>
              <w:rPr/>
            </w:pPr>
            <w:r>
              <w:rPr/>
              <w:t>761,038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2,740,642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8.47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493</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1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7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Arial" w:hAnsi="Arial"/>
                <w:sz w:val="19"/>
              </w:rPr>
            </w:pPr>
            <w:r>
              <w:rPr>
                <w:rFonts w:ascii="Arial" w:hAnsi="Arial"/>
                <w:sz w:val="19"/>
              </w:rPr>
              <w:t>Options granted</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928" w:type="dxa"/>
            <w:tcBorders/>
            <w:vAlign w:val="bottom"/>
          </w:tcPr>
          <w:p>
            <w:pPr>
              <w:pStyle w:val="TableContents"/>
              <w:bidi w:val="0"/>
              <w:spacing w:before="0" w:after="283"/>
              <w:jc w:val="right"/>
              <w:rPr/>
            </w:pPr>
            <w:r>
              <w:rPr/>
              <w:t>(840,867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840,867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Arial" w:hAnsi="Arial"/>
                <w:sz w:val="19"/>
              </w:rPr>
            </w:pPr>
            <w:r>
              <w:rPr>
                <w:rFonts w:ascii="Arial" w:hAnsi="Arial"/>
                <w:sz w:val="19"/>
              </w:rPr>
              <w:t>Options forfeited</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right"/>
              <w:rPr/>
            </w:pPr>
            <w:r>
              <w:rPr/>
              <w:t>113,390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(113,390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7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tcPr>
          <w:p>
            <w:pPr>
              <w:pStyle w:val="TableContents"/>
              <w:bidi w:val="0"/>
              <w:spacing w:before="0" w:after="0"/>
              <w:jc w:val="left"/>
              <w:rPr>
                <w:rFonts w:ascii="Arial" w:hAnsi="Arial"/>
                <w:sz w:val="19"/>
              </w:rPr>
            </w:pPr>
            <w:r>
              <w:rPr>
                <w:rFonts w:ascii="Arial" w:hAnsi="Arial"/>
                <w:sz w:val="19"/>
              </w:rPr>
              <w:t>Options cancelled</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928" w:type="dxa"/>
            <w:tcBorders/>
            <w:vAlign w:val="bottom"/>
          </w:tcPr>
          <w:p>
            <w:pPr>
              <w:pStyle w:val="TableContents"/>
              <w:bidi w:val="0"/>
              <w:spacing w:before="0" w:after="283"/>
              <w:jc w:val="right"/>
              <w:rPr/>
            </w:pPr>
            <w:r>
              <w:rPr/>
              <w:t>68,503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(68,503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1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2025</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right"/>
              <w:rPr/>
            </w:pPr>
            <w:r>
              <w:rPr/>
              <w:t>102,064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3,399,616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423</w:t>
            </w:r>
          </w:p>
        </w:tc>
        <w:tc>
          <w:tcPr>
            <w:tcW w:w="60"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double" w:sz="6" w:space="1" w:color="000000"/>
              </w:pBdr>
              <w:bidi w:val="0"/>
              <w:spacing w:before="0" w:after="0"/>
              <w:jc w:val="left"/>
              <w:rPr/>
            </w:pPr>
            <w:r>
              <w:rPr/>
              <w:t> </w:t>
            </w:r>
          </w:p>
        </w:tc>
        <w:tc>
          <w:tcPr>
            <w:tcW w:w="1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7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090" w:type="dxa"/>
            <w:tcBorders/>
          </w:tcPr>
          <w:p>
            <w:pPr>
              <w:pStyle w:val="TableContents"/>
              <w:bidi w:val="0"/>
              <w:spacing w:before="0" w:after="0"/>
              <w:jc w:val="left"/>
              <w:rPr>
                <w:rFonts w:ascii="Arial" w:hAnsi="Arial"/>
                <w:b/>
                <w:sz w:val="19"/>
              </w:rPr>
            </w:pPr>
            <w:r>
              <w:rPr>
                <w:rFonts w:ascii="Arial" w:hAnsi="Arial"/>
                <w:b/>
                <w:sz w:val="19"/>
              </w:rPr>
              <w:t>Exercisable as of December 31, 2025</w:t>
            </w:r>
          </w:p>
        </w:tc>
        <w:tc>
          <w:tcPr>
            <w:tcW w:w="12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1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1,636,294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7.08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224</w:t>
            </w:r>
          </w:p>
        </w:tc>
        <w:tc>
          <w:tcPr>
            <w:tcW w:w="60" w:type="dxa"/>
            <w:tcBorders/>
            <w:vAlign w:val="bottom"/>
          </w:tcPr>
          <w:p>
            <w:pPr>
              <w:pStyle w:val="TableContents"/>
              <w:bidi w:val="0"/>
              <w:spacing w:before="0" w:after="283"/>
              <w:jc w:val="left"/>
              <w:rPr/>
            </w:pPr>
            <w:r>
              <w:rPr/>
              <w:t> </w:t>
            </w:r>
          </w:p>
        </w:tc>
      </w:tr>
      <w:tr>
        <w:trPr/>
        <w:tc>
          <w:tcPr>
            <w:tcW w:w="2090" w:type="dxa"/>
            <w:tcBorders/>
            <w:shd w:fill="CCEEFF" w:val="clear"/>
          </w:tcPr>
          <w:p>
            <w:pPr>
              <w:pStyle w:val="TableContents"/>
              <w:bidi w:val="0"/>
              <w:spacing w:before="0" w:after="0"/>
              <w:jc w:val="left"/>
              <w:rPr>
                <w:rFonts w:ascii="Arial" w:hAnsi="Arial"/>
                <w:b/>
                <w:sz w:val="19"/>
              </w:rPr>
            </w:pPr>
            <w:r>
              <w:rPr>
                <w:rFonts w:ascii="Arial" w:hAnsi="Arial"/>
                <w:b/>
                <w:sz w:val="19"/>
              </w:rPr>
              <w:t>Vested and expected to vest as of December 31, 2025</w:t>
            </w:r>
          </w:p>
        </w:tc>
        <w:tc>
          <w:tcPr>
            <w:tcW w:w="12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3,399,616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423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As of December 31, 2025 the total gross unrecognized stock-based compensation expense related to unvested stock options aggregated to $4.2 million. These expenses are expected to be recognized over a weighted-average period of 3.04 years. During the years ended December 31, 2025 and 2024, the Company granted 840,867 and 718,357 options, respectively, with a weighted-average grant date fair value of $2.67 and $2.65 per share, respectively. The total fair value of options vested during the years ended December 31, 2025 and 2024 was $1.7 million and $1.2 million, respectively. The aggregate intrinsic values of options outstanding, exercisable, vested and expected to vest were calculated as the difference between the exercise price of the options and fair value of the Company’s common stock as of December 31, 2025. </w:t>
      </w:r>
    </w:p>
    <w:p>
      <w:pPr>
        <w:pStyle w:val="TextBody"/>
        <w:bidi w:val="0"/>
        <w:spacing w:before="240" w:after="0"/>
        <w:jc w:val="left"/>
        <w:rPr>
          <w:rFonts w:ascii="Arial" w:hAnsi="Arial"/>
          <w:b/>
          <w:sz w:val="20"/>
        </w:rPr>
      </w:pPr>
      <w:r>
        <w:rPr>
          <w:rFonts w:ascii="Arial" w:hAnsi="Arial"/>
          <w:b/>
          <w:sz w:val="20"/>
        </w:rPr>
        <w:t xml:space="preserve">12. Income Taxes </w:t>
      </w:r>
    </w:p>
    <w:p>
      <w:pPr>
        <w:pStyle w:val="TextBody"/>
        <w:bidi w:val="0"/>
        <w:spacing w:before="40" w:after="0"/>
        <w:jc w:val="left"/>
        <w:rPr>
          <w:rFonts w:ascii="Arial" w:hAnsi="Arial"/>
          <w:sz w:val="19"/>
        </w:rPr>
      </w:pPr>
      <w:r>
        <w:rPr>
          <w:rFonts w:ascii="Arial" w:hAnsi="Arial"/>
          <w:sz w:val="19"/>
        </w:rPr>
        <w:t xml:space="preserve">As the Company was in a net loss position for the years ended December 31, 2025 and 2024, no income tax expense was recorded. </w:t>
      </w:r>
    </w:p>
    <w:p>
      <w:pPr>
        <w:pStyle w:val="TextBody"/>
        <w:bidi w:val="0"/>
        <w:spacing w:before="180" w:after="0"/>
        <w:jc w:val="left"/>
        <w:rPr>
          <w:rFonts w:ascii="Arial" w:hAnsi="Arial"/>
          <w:sz w:val="19"/>
        </w:rPr>
      </w:pPr>
      <w:r>
        <w:rPr>
          <w:rFonts w:ascii="Arial" w:hAnsi="Arial"/>
          <w:sz w:val="19"/>
        </w:rPr>
        <w:t xml:space="preserve">The components of the Income (loss) before provision for income taxes were as follows for the years ended December 31, 2025 and 2024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01"/>
        <w:gridCol w:w="231"/>
        <w:gridCol w:w="140"/>
        <w:gridCol w:w="784"/>
        <w:gridCol w:w="158"/>
        <w:gridCol w:w="203"/>
        <w:gridCol w:w="140"/>
        <w:gridCol w:w="784"/>
        <w:gridCol w:w="164"/>
      </w:tblGrid>
      <w:tr>
        <w:trPr/>
        <w:tc>
          <w:tcPr>
            <w:tcW w:w="7601"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0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20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7601" w:type="dxa"/>
            <w:tcBorders/>
            <w:shd w:fill="CCEEFF" w:val="clear"/>
          </w:tcPr>
          <w:p>
            <w:pPr>
              <w:pStyle w:val="TableContents"/>
              <w:bidi w:val="0"/>
              <w:spacing w:before="0" w:after="0"/>
              <w:jc w:val="left"/>
              <w:rPr>
                <w:rFonts w:ascii="Arial" w:hAnsi="Arial"/>
                <w:sz w:val="19"/>
              </w:rPr>
            </w:pPr>
            <w:r>
              <w:rPr>
                <w:rFonts w:ascii="Arial" w:hAnsi="Arial"/>
                <w:sz w:val="19"/>
              </w:rPr>
              <w:t>U.S.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(61,975</w:t>
            </w:r>
          </w:p>
        </w:tc>
        <w:tc>
          <w:tcPr>
            <w:tcW w:w="15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(24,786</w:t>
            </w:r>
          </w:p>
        </w:tc>
        <w:tc>
          <w:tcPr>
            <w:tcW w:w="164" w:type="dxa"/>
            <w:tcBorders/>
            <w:shd w:fill="CCEEFF" w:val="clear"/>
            <w:vAlign w:val="bottom"/>
          </w:tcPr>
          <w:p>
            <w:pPr>
              <w:pStyle w:val="TableContents"/>
              <w:bidi w:val="0"/>
              <w:spacing w:before="0" w:after="283"/>
              <w:jc w:val="left"/>
              <w:rPr/>
            </w:pPr>
            <w:r>
              <w:rPr/>
              <w:t>) </w:t>
            </w:r>
          </w:p>
        </w:tc>
      </w:tr>
      <w:tr>
        <w:trPr/>
        <w:tc>
          <w:tcPr>
            <w:tcW w:w="7601" w:type="dxa"/>
            <w:tcBorders/>
          </w:tcPr>
          <w:p>
            <w:pPr>
              <w:pStyle w:val="TableContents"/>
              <w:bidi w:val="0"/>
              <w:spacing w:before="0" w:after="0"/>
              <w:jc w:val="left"/>
              <w:rPr>
                <w:rFonts w:ascii="Arial" w:hAnsi="Arial"/>
                <w:sz w:val="19"/>
              </w:rPr>
            </w:pPr>
            <w:r>
              <w:rPr>
                <w:rFonts w:ascii="Arial" w:hAnsi="Arial"/>
                <w:sz w:val="19"/>
              </w:rPr>
              <w:t>Foreign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164" w:type="dxa"/>
            <w:tcBorders/>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601" w:type="dxa"/>
            <w:tcBorders/>
            <w:shd w:fill="CCEEFF" w:val="clear"/>
          </w:tcPr>
          <w:p>
            <w:pPr>
              <w:pStyle w:val="TableContents"/>
              <w:bidi w:val="0"/>
              <w:spacing w:before="0" w:after="0"/>
              <w:jc w:val="left"/>
              <w:rPr>
                <w:rFonts w:ascii="Arial" w:hAnsi="Arial"/>
                <w:sz w:val="19"/>
              </w:rPr>
            </w:pPr>
            <w:r>
              <w:rPr>
                <w:rFonts w:ascii="Arial" w:hAnsi="Arial"/>
                <w:sz w:val="19"/>
              </w:rPr>
              <w:t>Loss before provision for income taxes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(61,975</w:t>
            </w:r>
          </w:p>
        </w:tc>
        <w:tc>
          <w:tcPr>
            <w:tcW w:w="15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(24,786</w:t>
            </w:r>
          </w:p>
        </w:tc>
        <w:tc>
          <w:tcPr>
            <w:tcW w:w="164" w:type="dxa"/>
            <w:tcBorders/>
            <w:shd w:fill="CCEEFF" w:val="clear"/>
            <w:vAlign w:val="bottom"/>
          </w:tcPr>
          <w:p>
            <w:pPr>
              <w:pStyle w:val="TableContents"/>
              <w:bidi w:val="0"/>
              <w:spacing w:before="0" w:after="283"/>
              <w:jc w:val="left"/>
              <w:rPr/>
            </w:pPr>
            <w:r>
              <w:rPr/>
              <w:t>) </w:t>
            </w:r>
          </w:p>
        </w:tc>
      </w:tr>
      <w:tr>
        <w:trPr/>
        <w:tc>
          <w:tcPr>
            <w:tcW w:w="7601"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components of the Company’s deferred tax asset (liabilities) as of December 31, 2025 and 2024 were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9"/>
        <w:gridCol w:w="120"/>
        <w:gridCol w:w="239"/>
        <w:gridCol w:w="1268"/>
        <w:gridCol w:w="324"/>
        <w:gridCol w:w="476"/>
        <w:gridCol w:w="239"/>
        <w:gridCol w:w="1270"/>
        <w:gridCol w:w="160"/>
      </w:tblGrid>
      <w:tr>
        <w:trPr/>
        <w:tc>
          <w:tcPr>
            <w:tcW w:w="61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0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16"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5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9" w:type="dxa"/>
            <w:tcBorders/>
          </w:tcPr>
          <w:p>
            <w:pPr>
              <w:pStyle w:val="TableContents"/>
              <w:bidi w:val="0"/>
              <w:spacing w:before="0" w:after="0"/>
              <w:jc w:val="left"/>
              <w:rPr>
                <w:rFonts w:ascii="Arial" w:hAnsi="Arial"/>
                <w:sz w:val="19"/>
              </w:rPr>
            </w:pPr>
            <w:r>
              <w:rPr>
                <w:rFonts w:ascii="Arial" w:hAnsi="Arial"/>
                <w:sz w:val="19"/>
              </w:rPr>
              <w:t>Net operating loss carryforward</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22,601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13,265</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costs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11,902</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9,049</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Credit carryforwards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491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491</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Accruals and reserves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424</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265</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Fixed assets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Intangible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49</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Stock-based compensation</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596</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512</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Lease liability</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439</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Total deferred tax assets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36,501</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23,631</w:t>
            </w:r>
          </w:p>
        </w:tc>
        <w:tc>
          <w:tcPr>
            <w:tcW w:w="160" w:type="dxa"/>
            <w:tcBorders/>
            <w:vAlign w:val="bottom"/>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liabilities: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9" w:type="dxa"/>
            <w:tcBorders/>
          </w:tcPr>
          <w:p>
            <w:pPr>
              <w:pStyle w:val="TableContents"/>
              <w:bidi w:val="0"/>
              <w:spacing w:before="0" w:after="0"/>
              <w:jc w:val="left"/>
              <w:rPr>
                <w:rFonts w:ascii="Arial" w:hAnsi="Arial"/>
                <w:sz w:val="19"/>
              </w:rPr>
            </w:pPr>
            <w:r>
              <w:rPr>
                <w:rFonts w:ascii="Arial" w:hAnsi="Arial"/>
                <w:sz w:val="19"/>
              </w:rPr>
              <w:t>Right-of-use asset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(444</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Total net deferred tax assets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36,057</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23,631</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tcPr>
          <w:p>
            <w:pPr>
              <w:pStyle w:val="TableContents"/>
              <w:bidi w:val="0"/>
              <w:spacing w:before="0" w:after="0"/>
              <w:jc w:val="left"/>
              <w:rPr>
                <w:rFonts w:ascii="Arial" w:hAnsi="Arial"/>
                <w:sz w:val="19"/>
              </w:rPr>
            </w:pPr>
            <w:r>
              <w:rPr>
                <w:rFonts w:ascii="Arial" w:hAnsi="Arial"/>
                <w:sz w:val="19"/>
              </w:rPr>
              <w:t>Less: valuation allowance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(36,057</w:t>
            </w:r>
          </w:p>
        </w:tc>
        <w:tc>
          <w:tcPr>
            <w:tcW w:w="32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(23,631</w:t>
            </w:r>
          </w:p>
        </w:tc>
        <w:tc>
          <w:tcPr>
            <w:tcW w:w="160" w:type="dxa"/>
            <w:tcBorders/>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9" w:type="dxa"/>
            <w:tcBorders/>
            <w:shd w:fill="CCEEFF" w:val="clear"/>
          </w:tcPr>
          <w:p>
            <w:pPr>
              <w:pStyle w:val="TableContents"/>
              <w:bidi w:val="0"/>
              <w:spacing w:before="0" w:after="0"/>
              <w:jc w:val="left"/>
              <w:rPr>
                <w:rFonts w:ascii="Arial" w:hAnsi="Arial"/>
                <w:sz w:val="19"/>
              </w:rPr>
            </w:pPr>
            <w:r>
              <w:rPr>
                <w:rFonts w:ascii="Arial" w:hAnsi="Arial"/>
                <w:sz w:val="19"/>
              </w:rPr>
              <w:t>Deferred tax asset,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w:t>
            </w:r>
          </w:p>
        </w:tc>
        <w:tc>
          <w:tcPr>
            <w:tcW w:w="32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0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following table provides a reconciliation of the U.S. statutory income tax rate to the Company’s provision for income taxes and respective effective tax rate disaggregated by required category for the years ended December 31, 2025 and 2024 in accordance with ASU 2023-09.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93"/>
        <w:gridCol w:w="154"/>
        <w:gridCol w:w="60"/>
        <w:gridCol w:w="764"/>
        <w:gridCol w:w="155"/>
        <w:gridCol w:w="103"/>
        <w:gridCol w:w="83"/>
        <w:gridCol w:w="1156"/>
        <w:gridCol w:w="155"/>
        <w:gridCol w:w="103"/>
        <w:gridCol w:w="60"/>
        <w:gridCol w:w="764"/>
        <w:gridCol w:w="351"/>
        <w:gridCol w:w="103"/>
        <w:gridCol w:w="97"/>
        <w:gridCol w:w="1143"/>
        <w:gridCol w:w="161"/>
      </w:tblGrid>
      <w:tr>
        <w:trPr/>
        <w:tc>
          <w:tcPr>
            <w:tcW w:w="4793"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097"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32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51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RATE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3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2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RATE</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Income tax expense (benefit) at statutory federal rate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(13,014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21.0%</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(5,187</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b/>
                <w:sz w:val="19"/>
              </w:rPr>
            </w:pPr>
            <w:r>
              <w:rPr>
                <w:rFonts w:ascii="Arial" w:hAnsi="Arial"/>
                <w:b/>
                <w:sz w:val="19"/>
              </w:rPr>
              <w:t>Tax credits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93" w:type="dxa"/>
            <w:tcBorders/>
            <w:shd w:fill="CCEEFF" w:val="clear"/>
          </w:tcPr>
          <w:p>
            <w:pPr>
              <w:pStyle w:val="TableContents"/>
              <w:bidi w:val="0"/>
              <w:spacing w:before="0" w:after="0"/>
              <w:jc w:val="left"/>
              <w:rPr>
                <w:rFonts w:ascii="Arial" w:hAnsi="Arial"/>
                <w:sz w:val="19"/>
              </w:rPr>
            </w:pPr>
            <w:r>
              <w:rPr>
                <w:rFonts w:ascii="Arial" w:hAnsi="Arial"/>
                <w:sz w:val="19"/>
              </w:rPr>
              <w:t>Federal research and development credits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2.6%</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(644</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b/>
                <w:sz w:val="19"/>
              </w:rPr>
            </w:pPr>
            <w:r>
              <w:rPr>
                <w:rFonts w:ascii="Arial" w:hAnsi="Arial"/>
                <w:b/>
                <w:sz w:val="19"/>
              </w:rPr>
              <w:t>Changes in valuation allowance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12,412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(18.7%</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4,615</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Nontaxable or nondeductible items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Convertible note interest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sz w:val="19"/>
              </w:rPr>
            </w:pPr>
            <w:r>
              <w:rPr>
                <w:rFonts w:ascii="Arial" w:hAnsi="Arial"/>
                <w:sz w:val="19"/>
              </w:rPr>
              <w:t>Stock-based compensation</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(2.2</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551</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tcPr>
          <w:p>
            <w:pPr>
              <w:pStyle w:val="TableContents"/>
              <w:bidi w:val="0"/>
              <w:spacing w:before="0" w:after="0"/>
              <w:jc w:val="left"/>
              <w:rPr>
                <w:rFonts w:ascii="Arial" w:hAnsi="Arial"/>
                <w:sz w:val="19"/>
              </w:rPr>
            </w:pPr>
            <w:r>
              <w:rPr>
                <w:rFonts w:ascii="Arial" w:hAnsi="Arial"/>
                <w:sz w:val="19"/>
              </w:rPr>
              <w:t>Other permanent items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(0.1</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21</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Changes in unrecognized tax benefits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Federal research and development credits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(2.6</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644</w:t>
            </w:r>
          </w:p>
        </w:tc>
        <w:tc>
          <w:tcPr>
            <w:tcW w:w="161" w:type="dxa"/>
            <w:tcBorders/>
            <w:vAlign w:val="bottom"/>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Other reconciling items</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93" w:type="dxa"/>
            <w:tcBorders/>
          </w:tcPr>
          <w:p>
            <w:pPr>
              <w:pStyle w:val="TableContents"/>
              <w:bidi w:val="0"/>
              <w:spacing w:before="0" w:after="0"/>
              <w:jc w:val="left"/>
              <w:rPr>
                <w:rFonts w:ascii="Arial" w:hAnsi="Arial"/>
                <w:sz w:val="19"/>
              </w:rPr>
            </w:pPr>
            <w:r>
              <w:rPr>
                <w:rFonts w:ascii="Arial" w:hAnsi="Arial"/>
                <w:sz w:val="19"/>
              </w:rPr>
              <w:t>Other</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0.0</w:t>
            </w:r>
          </w:p>
        </w:tc>
        <w:tc>
          <w:tcPr>
            <w:tcW w:w="35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93" w:type="dxa"/>
            <w:tcBorders/>
            <w:shd w:fill="CCEEFF" w:val="clear"/>
          </w:tcPr>
          <w:p>
            <w:pPr>
              <w:pStyle w:val="TableContents"/>
              <w:bidi w:val="0"/>
              <w:spacing w:before="0" w:after="0"/>
              <w:jc w:val="left"/>
              <w:rPr>
                <w:rFonts w:ascii="Arial" w:hAnsi="Arial"/>
                <w:b/>
                <w:sz w:val="19"/>
              </w:rPr>
            </w:pPr>
            <w:r>
              <w:rPr>
                <w:rFonts w:ascii="Arial" w:hAnsi="Arial"/>
                <w:b/>
                <w:sz w:val="19"/>
              </w:rPr>
              <w:t>Effective income tax rate</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0.0</w:t>
            </w:r>
          </w:p>
        </w:tc>
        <w:tc>
          <w:tcPr>
            <w:tcW w:w="35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w:t>
            </w:r>
          </w:p>
        </w:tc>
        <w:tc>
          <w:tcPr>
            <w:tcW w:w="161" w:type="dxa"/>
            <w:tcBorders/>
            <w:shd w:fill="CCEEFF" w:val="clear"/>
            <w:vAlign w:val="bottom"/>
          </w:tcPr>
          <w:p>
            <w:pPr>
              <w:pStyle w:val="TableContents"/>
              <w:bidi w:val="0"/>
              <w:spacing w:before="0" w:after="283"/>
              <w:jc w:val="left"/>
              <w:rPr/>
            </w:pPr>
            <w:r>
              <w:rPr/>
              <w:t> </w:t>
            </w:r>
          </w:p>
        </w:tc>
      </w:tr>
      <w:tr>
        <w:trPr/>
        <w:tc>
          <w:tcPr>
            <w:tcW w:w="4793"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the Company provided a full valuation allowance against the deferred tax assets resulting from the tax losses and credits carried forward. The ultimate tax benefit will be realized upon the achievement of continued sustained future operating profits and deriving taxable income.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July 4, 2025, President Trump signed the tax act referred to as The One Big Beautiful Bill (“OBBB”) Act, which includes comprehensive U.S. corporate tax legislation. The legislation includes the permanent extension and modification of provisions originally introduced under the Tax Cuts and Jobs Act of 2017 and the introduction of new provisions. Key provisions include the permanent restoration of bonus depreciation allowances, changes to the limitations on deductibility of business interest expense, and the reintroduction of immediate expensing of U.S. domestic research and development costs. The impact on current and deferred taxes for tax law changes is reported in continuing operations in the interim period that includes the enactment date. The Company has determined that the new act would not have a material impact to its tax provision due to full valuation allowance. The Company will continue to assess the tax accounting impacts, as well as the various state legislation and conformity rules, as more information becomes available. </w:t>
      </w:r>
    </w:p>
    <w:p>
      <w:pPr>
        <w:pStyle w:val="TextBody"/>
        <w:bidi w:val="0"/>
        <w:spacing w:before="180" w:after="0"/>
        <w:jc w:val="left"/>
        <w:rPr>
          <w:rFonts w:ascii="Arial" w:hAnsi="Arial"/>
          <w:sz w:val="19"/>
        </w:rPr>
      </w:pPr>
      <w:r>
        <w:rPr>
          <w:rFonts w:ascii="Arial" w:hAnsi="Arial"/>
          <w:sz w:val="19"/>
        </w:rPr>
        <w:t xml:space="preserve">During the year ended December 31, 2025, the Company capitalized $23.7 million of foreign research and development. In addition, during the year ended December 31, 2025, the Company recorded $10.4 million of amortization expenses related to previously capitalized domestic and foreign research and development expenditures. </w:t>
      </w:r>
    </w:p>
    <w:p>
      <w:pPr>
        <w:pStyle w:val="TextBody"/>
        <w:bidi w:val="0"/>
        <w:spacing w:before="180" w:after="0"/>
        <w:jc w:val="left"/>
        <w:rPr>
          <w:rFonts w:ascii="Arial" w:hAnsi="Arial"/>
          <w:sz w:val="19"/>
        </w:rPr>
      </w:pPr>
      <w:r>
        <w:rPr>
          <w:rFonts w:ascii="Arial" w:hAnsi="Arial"/>
          <w:sz w:val="19"/>
        </w:rPr>
        <w:t xml:space="preserve">As of December 31, 2025, the Company had net operating loss carryforwards of $102.6 million for federal income taxes and $14.6 million for state income taxes. If not utilized, the Federal net operating losses will not expire and the state net operating losses will begin to expire in 2038. As of December 31, 2025, the Company had research and development credit carryforwards of $0.5 million and less than $0.1 million for federal and California income taxes, net of reserves, respectively. If not utilized, the federal carryforwards will begin to expire in various amounts beginning in 2041. The state tax credit can be carried forward indefinitely. </w:t>
      </w:r>
    </w:p>
    <w:p>
      <w:pPr>
        <w:pStyle w:val="TextBody"/>
        <w:bidi w:val="0"/>
        <w:spacing w:before="180" w:after="0"/>
        <w:jc w:val="left"/>
        <w:rPr>
          <w:rFonts w:ascii="Arial" w:hAnsi="Arial"/>
          <w:sz w:val="19"/>
        </w:rPr>
      </w:pPr>
      <w:r>
        <w:rPr>
          <w:rFonts w:ascii="Arial" w:hAnsi="Arial"/>
          <w:sz w:val="19"/>
        </w:rPr>
        <w:t xml:space="preserve">Utilization of the net operating loss and tax credit carryforwards may be subject to a substantial annual limitation due to limitations from a change in ownership as provided by Section 382 of the Internal Revenue Code of 1986, as amended (“IRC”), and similar state provisions. The annual limitation may result in the expiration of net operating losses and tax credits before utilization. In the event that the Company had a change of ownership, utilization of the net operating loss and tax credit carryforwards may be restricted. The Company performed a Section 382 study through December 31, 2025, and concluded that the Company did not undergo an ownership change within the meaning of Section 382. </w:t>
      </w:r>
    </w:p>
    <w:p>
      <w:pPr>
        <w:pStyle w:val="TextBody"/>
        <w:bidi w:val="0"/>
        <w:spacing w:before="180" w:after="0"/>
        <w:jc w:val="left"/>
        <w:rPr>
          <w:rFonts w:ascii="Arial" w:hAnsi="Arial"/>
          <w:sz w:val="19"/>
        </w:rPr>
      </w:pPr>
      <w:r>
        <w:rPr>
          <w:rFonts w:ascii="Arial" w:hAnsi="Arial"/>
          <w:sz w:val="19"/>
        </w:rPr>
        <w:t xml:space="preserve">All of the Company’s tax returns remain open to examination. The resolution of the uncertain tax position would not affect the income tax rate due to the full valuation allowance on deferred tax assets. </w:t>
      </w:r>
    </w:p>
    <w:p>
      <w:pPr>
        <w:pStyle w:val="TextBody"/>
        <w:bidi w:val="0"/>
        <w:spacing w:before="180" w:after="0"/>
        <w:jc w:val="left"/>
        <w:rPr>
          <w:rFonts w:ascii="Arial" w:hAnsi="Arial"/>
          <w:sz w:val="19"/>
        </w:rPr>
      </w:pPr>
      <w:r>
        <w:rPr>
          <w:rFonts w:ascii="Arial" w:hAnsi="Arial"/>
          <w:sz w:val="19"/>
        </w:rPr>
        <w:t xml:space="preserve">The unrecognized tax benefit is related to the Company’s reserves on Federal and California research and development tax credits. For the years ended December 31, 2025 and 2024, the activity related to the unrecognized tax benefits is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5"/>
        <w:gridCol w:w="494"/>
        <w:gridCol w:w="304"/>
        <w:gridCol w:w="1219"/>
        <w:gridCol w:w="130"/>
        <w:gridCol w:w="612"/>
        <w:gridCol w:w="304"/>
        <w:gridCol w:w="1222"/>
        <w:gridCol w:w="65"/>
      </w:tblGrid>
      <w:tr>
        <w:trPr/>
        <w:tc>
          <w:tcPr>
            <w:tcW w:w="58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379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523"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526"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19"/>
              </w:rPr>
            </w:pPr>
            <w:r>
              <w:rPr>
                <w:rFonts w:ascii="Arial" w:hAnsi="Arial"/>
                <w:sz w:val="19"/>
              </w:rPr>
              <w:t>Balance at beginning of year</w:t>
            </w:r>
          </w:p>
        </w:tc>
        <w:tc>
          <w:tcPr>
            <w:tcW w:w="49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1,442</w:t>
            </w:r>
          </w:p>
        </w:tc>
        <w:tc>
          <w:tcPr>
            <w:tcW w:w="13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798</w:t>
            </w:r>
          </w:p>
        </w:tc>
        <w:tc>
          <w:tcPr>
            <w:tcW w:w="65" w:type="dxa"/>
            <w:tcBorders/>
            <w:shd w:fill="CCEEFF" w:val="clear"/>
            <w:vAlign w:val="bottom"/>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19"/>
              </w:rPr>
            </w:pPr>
            <w:r>
              <w:rPr>
                <w:rFonts w:ascii="Arial" w:hAnsi="Arial"/>
                <w:sz w:val="19"/>
              </w:rPr>
              <w:t>Changes related to prior tax positions</w:t>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644</w:t>
            </w:r>
          </w:p>
        </w:tc>
        <w:tc>
          <w:tcPr>
            <w:tcW w:w="65"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Arial" w:hAnsi="Arial"/>
                <w:sz w:val="19"/>
              </w:rPr>
            </w:pPr>
            <w:r>
              <w:rPr>
                <w:rFonts w:ascii="Arial" w:hAnsi="Arial"/>
                <w:sz w:val="19"/>
              </w:rPr>
              <w:t>Increases related to current tax positions</w:t>
            </w:r>
          </w:p>
        </w:tc>
        <w:tc>
          <w:tcPr>
            <w:tcW w:w="49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w:t>
            </w:r>
          </w:p>
        </w:tc>
        <w:tc>
          <w:tcPr>
            <w:tcW w:w="130"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Arial" w:hAnsi="Arial"/>
                <w:sz w:val="19"/>
              </w:rPr>
            </w:pPr>
            <w:r>
              <w:rPr>
                <w:rFonts w:ascii="Arial" w:hAnsi="Arial"/>
                <w:sz w:val="19"/>
              </w:rPr>
              <w:t>Balance at end of year</w:t>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1,442</w:t>
            </w:r>
          </w:p>
        </w:tc>
        <w:tc>
          <w:tcPr>
            <w:tcW w:w="130"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1,442</w:t>
            </w:r>
          </w:p>
        </w:tc>
        <w:tc>
          <w:tcPr>
            <w:tcW w:w="65"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13. Segments </w:t>
      </w:r>
    </w:p>
    <w:p>
      <w:pPr>
        <w:pStyle w:val="TextBody"/>
        <w:bidi w:val="0"/>
        <w:spacing w:before="40" w:after="0"/>
        <w:jc w:val="left"/>
        <w:rPr>
          <w:rFonts w:ascii="Arial" w:hAnsi="Arial"/>
          <w:sz w:val="19"/>
        </w:rPr>
      </w:pPr>
      <w:r>
        <w:rPr>
          <w:rFonts w:ascii="Arial" w:hAnsi="Arial"/>
          <w:sz w:val="19"/>
        </w:rPr>
        <w:t xml:space="preserve">The Company’s CODM is its Chief Executive Officer, who reviews financial information presented on a net loss basis as reported in the statement of operations in order to make decisions about allocating resources and assessing performance for the entire Company. The CODM also utilizes the Company’s annual budget and strategic plan, as a key input to resource allocation. The CODM function approves of key operating and strategic decisions. The CODM function views the Company’s operations and manages its business as a single reportable operating segment. </w:t>
      </w:r>
    </w:p>
    <w:p>
      <w:pPr>
        <w:pStyle w:val="TextBody"/>
        <w:bidi w:val="0"/>
        <w:spacing w:before="180" w:after="0"/>
        <w:jc w:val="left"/>
        <w:rPr>
          <w:rFonts w:ascii="Arial" w:hAnsi="Arial"/>
          <w:sz w:val="19"/>
        </w:rPr>
      </w:pPr>
      <w:r>
        <w:rPr>
          <w:rFonts w:ascii="Arial" w:hAnsi="Arial"/>
          <w:sz w:val="19"/>
        </w:rPr>
        <w:t xml:space="preserve">The Company monitors its cash, cash equivalents and investments as reported on the Company’s balance sheets to determine funding needed for furthering its research and development activities, while continuing general and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administrative operations. The CODM function is regularly provided with the following significant segment expenses. Significant expenses include research and development and general and administrative expenses, which are each separately presented in the Company’s statements of operations. The CODM reviews significant expenses within both the research and development and the general and administrative categories. Other segment items within net loss include interest income, interest expense, and other income (expense). No product revenue has been generated since inception and all assets are held in the United States. See the financial statements for other financial information regarding the Company’s operating segment. The CODM is regularly provided with the following significant segment expenses: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0"/>
        <w:gridCol w:w="120"/>
        <w:gridCol w:w="239"/>
        <w:gridCol w:w="1270"/>
        <w:gridCol w:w="321"/>
        <w:gridCol w:w="464"/>
        <w:gridCol w:w="239"/>
        <w:gridCol w:w="1272"/>
        <w:gridCol w:w="160"/>
      </w:tblGrid>
      <w:tr>
        <w:trPr/>
        <w:tc>
          <w:tcPr>
            <w:tcW w:w="6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5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Ipsoprubart</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26,100</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2" w:type="dxa"/>
            <w:tcBorders/>
            <w:vAlign w:val="bottom"/>
          </w:tcPr>
          <w:p>
            <w:pPr>
              <w:pStyle w:val="TableContents"/>
              <w:bidi w:val="0"/>
              <w:spacing w:before="0" w:after="283"/>
              <w:jc w:val="right"/>
              <w:rPr/>
            </w:pPr>
            <w:r>
              <w:rPr/>
              <w:t>6,794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12,594</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4,360</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Unallocated costs: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9,339</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6,115</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2,354</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1,998</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50,387</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19,267</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General and administrative: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sz w:val="4"/>
                <w:szCs w:val="4"/>
              </w:rPr>
            </w:pPr>
            <w:r>
              <w:rPr>
                <w:sz w:val="4"/>
                <w:szCs w:val="4"/>
              </w:rPr>
            </w:r>
          </w:p>
        </w:tc>
        <w:tc>
          <w:tcPr>
            <w:tcW w:w="127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3,370</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2,834</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7,178</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3,628</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954</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588</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11,502</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7,050</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61,889</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26,317</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Loss from operations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(61,889</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(26,317</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127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0" w:type="dxa"/>
            <w:tcBorders/>
          </w:tcPr>
          <w:p>
            <w:pPr>
              <w:pStyle w:val="TableContents"/>
              <w:bidi w:val="0"/>
              <w:spacing w:before="0" w:after="0"/>
              <w:jc w:val="left"/>
              <w:rPr>
                <w:rFonts w:ascii="Arial" w:hAnsi="Arial"/>
                <w:sz w:val="19"/>
              </w:rPr>
            </w:pPr>
            <w:r>
              <w:rPr>
                <w:rFonts w:ascii="Arial" w:hAnsi="Arial"/>
                <w:sz w:val="19"/>
              </w:rPr>
              <w:t>Interest income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1,362</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1,524</w:t>
            </w:r>
          </w:p>
        </w:tc>
        <w:tc>
          <w:tcPr>
            <w:tcW w:w="160" w:type="dxa"/>
            <w:tcBorders/>
            <w:vAlign w:val="bottom"/>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(1,433</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Other income (expense)</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(86</w:t>
            </w:r>
          </w:p>
        </w:tc>
        <w:tc>
          <w:tcPr>
            <w:tcW w:w="321"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1,531</w:t>
            </w:r>
          </w:p>
        </w:tc>
        <w:tc>
          <w:tcPr>
            <w:tcW w:w="160" w:type="dxa"/>
            <w:tcBorders/>
            <w:shd w:fill="CCEEFF" w:val="clear"/>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0"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(61,975</w:t>
            </w:r>
          </w:p>
        </w:tc>
        <w:tc>
          <w:tcPr>
            <w:tcW w:w="321"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1272"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Arial" w:hAnsi="Arial"/>
          <w:b/>
          <w:sz w:val="20"/>
        </w:rPr>
      </w:pPr>
      <w:r>
        <w:rPr>
          <w:rFonts w:ascii="Arial" w:hAnsi="Arial"/>
          <w:b/>
          <w:sz w:val="20"/>
        </w:rPr>
        <w:t xml:space="preserve">14. Net Loss Per Share Attributable to Common Stockholders </w:t>
      </w:r>
    </w:p>
    <w:p>
      <w:pPr>
        <w:pStyle w:val="TextBody"/>
        <w:bidi w:val="0"/>
        <w:spacing w:before="80" w:after="0"/>
        <w:jc w:val="left"/>
        <w:rPr>
          <w:rFonts w:ascii="Arial" w:hAnsi="Arial"/>
          <w:sz w:val="19"/>
        </w:rPr>
      </w:pPr>
      <w:r>
        <w:rPr>
          <w:rFonts w:ascii="Arial" w:hAnsi="Arial"/>
          <w:sz w:val="19"/>
        </w:rPr>
        <w:t xml:space="preserve">The following table sets forth the computation of basic and diluted net loss per share attributable to common stockholders (in thousands, except share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1"/>
        <w:gridCol w:w="120"/>
        <w:gridCol w:w="220"/>
        <w:gridCol w:w="1435"/>
        <w:gridCol w:w="302"/>
        <w:gridCol w:w="456"/>
        <w:gridCol w:w="220"/>
        <w:gridCol w:w="1171"/>
        <w:gridCol w:w="160"/>
      </w:tblGrid>
      <w:tr>
        <w:trPr/>
        <w:tc>
          <w:tcPr>
            <w:tcW w:w="61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80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39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Numerator:</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Net loss</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435" w:type="dxa"/>
            <w:tcBorders/>
            <w:vAlign w:val="bottom"/>
          </w:tcPr>
          <w:p>
            <w:pPr>
              <w:pStyle w:val="TableContents"/>
              <w:bidi w:val="0"/>
              <w:spacing w:before="0" w:after="283"/>
              <w:jc w:val="right"/>
              <w:rPr/>
            </w:pPr>
            <w:r>
              <w:rPr/>
              <w:t>(61,975</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171" w:type="dxa"/>
            <w:tcBorders/>
            <w:vAlign w:val="bottom"/>
          </w:tcPr>
          <w:p>
            <w:pPr>
              <w:pStyle w:val="TableContents"/>
              <w:bidi w:val="0"/>
              <w:spacing w:before="0" w:after="283"/>
              <w:jc w:val="right"/>
              <w:rPr/>
            </w:pPr>
            <w:r>
              <w:rPr/>
              <w:t>(24,786</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Denominator:</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435"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17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21" w:type="dxa"/>
            <w:tcBorders/>
          </w:tcPr>
          <w:p>
            <w:pPr>
              <w:pStyle w:val="TableContents"/>
              <w:bidi w:val="0"/>
              <w:spacing w:before="0" w:after="0"/>
              <w:jc w:val="left"/>
              <w:rPr>
                <w:rFonts w:ascii="Arial" w:hAnsi="Arial"/>
                <w:sz w:val="19"/>
              </w:rPr>
            </w:pPr>
            <w:r>
              <w:rPr>
                <w:rFonts w:ascii="Arial" w:hAnsi="Arial"/>
                <w:sz w:val="19"/>
              </w:rPr>
              <w:t>Weighted-average shares outstanding in computing net loss per share, basic and diluted</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44,000</w:t>
            </w:r>
          </w:p>
        </w:tc>
        <w:tc>
          <w:tcPr>
            <w:tcW w:w="30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right"/>
              <w:rPr/>
            </w:pPr>
            <w:r>
              <w:rPr/>
              <w:t>44,000</w:t>
            </w:r>
          </w:p>
        </w:tc>
        <w:tc>
          <w:tcPr>
            <w:tcW w:w="160" w:type="dxa"/>
            <w:tcBorders/>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435"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1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21"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basic and diluted</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435" w:type="dxa"/>
            <w:tcBorders/>
            <w:shd w:fill="CCEEFF" w:val="clear"/>
            <w:vAlign w:val="bottom"/>
          </w:tcPr>
          <w:p>
            <w:pPr>
              <w:pStyle w:val="TableContents"/>
              <w:bidi w:val="0"/>
              <w:spacing w:before="0" w:after="283"/>
              <w:jc w:val="right"/>
              <w:rPr/>
            </w:pPr>
            <w:r>
              <w:rPr/>
              <w:t>(1,408.52</w:t>
            </w:r>
          </w:p>
        </w:tc>
        <w:tc>
          <w:tcPr>
            <w:tcW w:w="30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171" w:type="dxa"/>
            <w:tcBorders/>
            <w:shd w:fill="CCEEFF" w:val="clear"/>
            <w:vAlign w:val="bottom"/>
          </w:tcPr>
          <w:p>
            <w:pPr>
              <w:pStyle w:val="TableContents"/>
              <w:bidi w:val="0"/>
              <w:spacing w:before="0" w:after="283"/>
              <w:jc w:val="right"/>
              <w:rPr/>
            </w:pPr>
            <w:r>
              <w:rPr/>
              <w:t>(563.32</w:t>
            </w:r>
          </w:p>
        </w:tc>
        <w:tc>
          <w:tcPr>
            <w:tcW w:w="160" w:type="dxa"/>
            <w:tcBorders/>
            <w:shd w:fill="CCEEFF" w:val="clear"/>
            <w:vAlign w:val="bottom"/>
          </w:tcPr>
          <w:p>
            <w:pPr>
              <w:pStyle w:val="TableContents"/>
              <w:bidi w:val="0"/>
              <w:spacing w:before="0" w:after="283"/>
              <w:jc w:val="left"/>
              <w:rPr/>
            </w:pPr>
            <w:r>
              <w:rPr/>
              <w:t>) </w:t>
            </w:r>
          </w:p>
        </w:tc>
      </w:tr>
      <w:tr>
        <w:trPr/>
        <w:tc>
          <w:tcPr>
            <w:tcW w:w="612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435"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1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outstanding shares of potentially dilutive securities were excluded from the computation of diluted net loss per share for the periods presented because including them would have been anti-dilutive: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81"/>
        <w:gridCol w:w="142"/>
        <w:gridCol w:w="82"/>
        <w:gridCol w:w="1514"/>
        <w:gridCol w:w="82"/>
        <w:gridCol w:w="166"/>
        <w:gridCol w:w="82"/>
        <w:gridCol w:w="1593"/>
        <w:gridCol w:w="63"/>
      </w:tblGrid>
      <w:tr>
        <w:trPr/>
        <w:tc>
          <w:tcPr>
            <w:tcW w:w="648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4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519" w:type="dxa"/>
            <w:gridSpan w:val="6"/>
            <w:tcBorders>
              <w:bottom w:val="single" w:sz="2"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9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8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67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Arial" w:hAnsi="Arial"/>
                <w:sz w:val="19"/>
              </w:rPr>
            </w:pPr>
            <w:r>
              <w:rPr>
                <w:rFonts w:ascii="Arial" w:hAnsi="Arial"/>
                <w:sz w:val="19"/>
              </w:rPr>
              <w:t>Redeemable convertible preferred stock</w:t>
            </w:r>
          </w:p>
        </w:tc>
        <w:tc>
          <w:tcPr>
            <w:tcW w:w="14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51,735,653</w:t>
            </w:r>
          </w:p>
        </w:tc>
        <w:tc>
          <w:tcPr>
            <w:tcW w:w="8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31,911,118</w:t>
            </w:r>
          </w:p>
        </w:tc>
        <w:tc>
          <w:tcPr>
            <w:tcW w:w="63" w:type="dxa"/>
            <w:tcBorders/>
            <w:shd w:fill="CCEEFF" w:val="clear"/>
            <w:vAlign w:val="bottom"/>
          </w:tcPr>
          <w:p>
            <w:pPr>
              <w:pStyle w:val="TableContents"/>
              <w:bidi w:val="0"/>
              <w:spacing w:before="0" w:after="283"/>
              <w:jc w:val="left"/>
              <w:rPr/>
            </w:pPr>
            <w:r>
              <w:rPr/>
              <w:t> </w:t>
            </w:r>
          </w:p>
        </w:tc>
      </w:tr>
      <w:tr>
        <w:trPr/>
        <w:tc>
          <w:tcPr>
            <w:tcW w:w="6481" w:type="dxa"/>
            <w:tcBorders/>
          </w:tcPr>
          <w:p>
            <w:pPr>
              <w:pStyle w:val="TableContents"/>
              <w:bidi w:val="0"/>
              <w:spacing w:before="0" w:after="0"/>
              <w:jc w:val="left"/>
              <w:rPr>
                <w:rFonts w:ascii="Arial" w:hAnsi="Arial"/>
                <w:sz w:val="19"/>
              </w:rPr>
            </w:pPr>
            <w:r>
              <w:rPr>
                <w:rFonts w:ascii="Arial" w:hAnsi="Arial"/>
                <w:sz w:val="19"/>
              </w:rPr>
              <w:t>Stock options</w:t>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3,399,616</w:t>
            </w:r>
          </w:p>
        </w:tc>
        <w:tc>
          <w:tcPr>
            <w:tcW w:w="8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2,740,642</w:t>
            </w:r>
          </w:p>
        </w:tc>
        <w:tc>
          <w:tcPr>
            <w:tcW w:w="63" w:type="dxa"/>
            <w:tcBorders/>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14" w:type="dxa"/>
            <w:tcBorders/>
            <w:vAlign w:val="bottom"/>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59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81"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4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55,135,269</w:t>
            </w:r>
          </w:p>
        </w:tc>
        <w:tc>
          <w:tcPr>
            <w:tcW w:w="8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34,651,760</w:t>
            </w:r>
          </w:p>
        </w:tc>
        <w:tc>
          <w:tcPr>
            <w:tcW w:w="63" w:type="dxa"/>
            <w:tcBorders/>
            <w:shd w:fill="CCEEFF" w:val="clear"/>
            <w:vAlign w:val="bottom"/>
          </w:tcPr>
          <w:p>
            <w:pPr>
              <w:pStyle w:val="TableContents"/>
              <w:bidi w:val="0"/>
              <w:spacing w:before="0" w:after="283"/>
              <w:jc w:val="left"/>
              <w:rPr/>
            </w:pPr>
            <w:r>
              <w:rPr/>
              <w:t> </w:t>
            </w:r>
          </w:p>
        </w:tc>
      </w:tr>
      <w:tr>
        <w:trPr/>
        <w:tc>
          <w:tcPr>
            <w:tcW w:w="6481"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14" w:type="dxa"/>
            <w:tcBorders/>
            <w:vAlign w:val="bottom"/>
          </w:tcPr>
          <w:p>
            <w:pPr>
              <w:pStyle w:val="TableContents"/>
              <w:pBdr>
                <w:top w:val="double" w:sz="6"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59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Electra LLC PI Units are excluded as they are not potentially dilutive securities to the Company. </w:t>
      </w:r>
    </w:p>
    <w:p>
      <w:pPr>
        <w:pStyle w:val="TextBody"/>
        <w:bidi w:val="0"/>
        <w:spacing w:before="240" w:after="0"/>
        <w:jc w:val="left"/>
        <w:rPr>
          <w:rFonts w:ascii="Arial" w:hAnsi="Arial"/>
          <w:b/>
          <w:sz w:val="20"/>
        </w:rPr>
      </w:pPr>
      <w:r>
        <w:rPr>
          <w:rFonts w:ascii="Arial" w:hAnsi="Arial"/>
          <w:b/>
          <w:sz w:val="20"/>
        </w:rPr>
        <w:t xml:space="preserve">15. Subsequent events </w:t>
      </w:r>
    </w:p>
    <w:p>
      <w:pPr>
        <w:pStyle w:val="TextBody"/>
        <w:bidi w:val="0"/>
        <w:spacing w:before="80" w:after="0"/>
        <w:jc w:val="left"/>
        <w:rPr>
          <w:rFonts w:ascii="Arial" w:hAnsi="Arial"/>
          <w:sz w:val="19"/>
        </w:rPr>
      </w:pPr>
      <w:r>
        <w:rPr>
          <w:rFonts w:ascii="Arial" w:hAnsi="Arial"/>
          <w:sz w:val="19"/>
        </w:rPr>
        <w:t xml:space="preserve">The Company evaluated subsequent events through June 26, 2026, the date on which these financial statements were available for issuance. No subsequent events have been identified for disclosure to or adjustment in the financial statements, other than the matter noted below. </w:t>
      </w:r>
    </w:p>
    <w:p>
      <w:pPr>
        <w:pStyle w:val="TextBody"/>
        <w:bidi w:val="0"/>
        <w:spacing w:before="180" w:after="0"/>
        <w:jc w:val="left"/>
        <w:rPr>
          <w:rFonts w:ascii="Arial" w:hAnsi="Arial"/>
          <w:sz w:val="19"/>
        </w:rPr>
      </w:pPr>
      <w:r>
        <w:rPr>
          <w:rFonts w:ascii="Arial" w:hAnsi="Arial"/>
          <w:sz w:val="19"/>
        </w:rPr>
        <w:t xml:space="preserve">On June 18, 2026, pursuant to the Series C Preferred Stock Purchase Agreement, the Company closed on the Second Tranche Closing and issued shares of its Series C Preferred Stock at the Original Issue Price of $6.7688 per share on the same terms as the Initial Tranche. The Second Tranche Closing was made up of the same investors as those who participated in the Initial Tranche in October 2025 and were committed to the Second Tranche. The Second Tranche Closing resulted in the issuance of 7,378,708 shares of Series C Preferred Stock for total gross proceeds of $49.9 million.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2" w:name="fin61940_8"/>
      <w:bookmarkEnd w:id="32"/>
      <w:r>
        <w:rPr>
          <w:rFonts w:ascii="Arial" w:hAnsi="Arial"/>
          <w:b/>
          <w:sz w:val="20"/>
        </w:rPr>
        <w:t xml:space="preserve">ELECTRA THERAPEUTICS, INC. </w:t>
      </w:r>
    </w:p>
    <w:p>
      <w:pPr>
        <w:pStyle w:val="TextBody"/>
        <w:bidi w:val="0"/>
        <w:spacing w:before="120" w:after="0"/>
        <w:jc w:val="center"/>
        <w:rPr>
          <w:rFonts w:ascii="Arial" w:hAnsi="Arial"/>
          <w:b/>
          <w:sz w:val="20"/>
        </w:rPr>
      </w:pPr>
      <w:r>
        <w:rPr>
          <w:rFonts w:ascii="Arial" w:hAnsi="Arial"/>
          <w:b/>
          <w:sz w:val="20"/>
        </w:rPr>
        <w:t xml:space="preserve">Condensed Balance Sheets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2"/>
        <w:gridCol w:w="362"/>
        <w:gridCol w:w="141"/>
        <w:gridCol w:w="924"/>
        <w:gridCol w:w="155"/>
        <w:gridCol w:w="318"/>
        <w:gridCol w:w="250"/>
        <w:gridCol w:w="1624"/>
        <w:gridCol w:w="159"/>
      </w:tblGrid>
      <w:tr>
        <w:trPr/>
        <w:tc>
          <w:tcPr>
            <w:tcW w:w="6272"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72"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065" w:type="dxa"/>
            <w:gridSpan w:val="2"/>
            <w:tcBorders>
              <w:bottom w:val="single" w:sz="2"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874" w:type="dxa"/>
            <w:gridSpan w:val="2"/>
            <w:tcBorders>
              <w:bottom w:val="single" w:sz="2"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6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2" w:type="dxa"/>
            <w:tcBorders/>
          </w:tcPr>
          <w:p>
            <w:pPr>
              <w:pStyle w:val="TableContents"/>
              <w:bidi w:val="0"/>
              <w:spacing w:before="0" w:after="0"/>
              <w:jc w:val="left"/>
              <w:rPr>
                <w:rFonts w:ascii="Arial" w:hAnsi="Arial"/>
                <w:sz w:val="19"/>
              </w:rPr>
            </w:pPr>
            <w:r>
              <w:rPr>
                <w:rFonts w:ascii="Arial" w:hAnsi="Arial"/>
                <w:sz w:val="19"/>
              </w:rPr>
              <w:t>Current assets:</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66,507</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33,008</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Marketable securities</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31,218</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53,510</w:t>
            </w:r>
          </w:p>
        </w:tc>
        <w:tc>
          <w:tcPr>
            <w:tcW w:w="159" w:type="dxa"/>
            <w:tcBorders/>
            <w:vAlign w:val="bottom"/>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Other receivables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220</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Prepaid expenses and other current assets</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2,372</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8,748</w:t>
            </w:r>
          </w:p>
        </w:tc>
        <w:tc>
          <w:tcPr>
            <w:tcW w:w="159"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Total current assets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100,361</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95,486</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Property and equipment, net</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579</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674</w:t>
            </w:r>
          </w:p>
        </w:tc>
        <w:tc>
          <w:tcPr>
            <w:tcW w:w="159" w:type="dxa"/>
            <w:tcBorders/>
            <w:vAlign w:val="bottom"/>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Right-of-use assets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1,830</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2,110</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Other assets, non-current</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3,728</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1,098</w:t>
            </w:r>
          </w:p>
        </w:tc>
        <w:tc>
          <w:tcPr>
            <w:tcW w:w="159"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Total assets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106,498</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99,368</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b/>
                <w:sz w:val="19"/>
              </w:rPr>
            </w:pPr>
            <w:r>
              <w:rPr>
                <w:rFonts w:ascii="Arial" w:hAnsi="Arial"/>
                <w:b/>
                <w:sz w:val="19"/>
              </w:rPr>
              <w:t>Liabilities, redeemable convertible preferred stock, and stockholders’ deficit</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Current liabilities: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6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2" w:type="dxa"/>
            <w:tcBorders/>
          </w:tcPr>
          <w:p>
            <w:pPr>
              <w:pStyle w:val="TableContents"/>
              <w:bidi w:val="0"/>
              <w:spacing w:before="0" w:after="0"/>
              <w:jc w:val="left"/>
              <w:rPr>
                <w:rFonts w:ascii="Arial" w:hAnsi="Arial"/>
                <w:sz w:val="19"/>
              </w:rPr>
            </w:pPr>
            <w:r>
              <w:rPr>
                <w:rFonts w:ascii="Arial" w:hAnsi="Arial"/>
                <w:sz w:val="19"/>
              </w:rPr>
              <w:t>Accounts payable</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24" w:type="dxa"/>
            <w:tcBorders/>
            <w:vAlign w:val="bottom"/>
          </w:tcPr>
          <w:p>
            <w:pPr>
              <w:pStyle w:val="TableContents"/>
              <w:bidi w:val="0"/>
              <w:spacing w:before="0" w:after="283"/>
              <w:jc w:val="right"/>
              <w:rPr/>
            </w:pPr>
            <w:r>
              <w:rPr/>
              <w:t>4,606</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4,076</w:t>
            </w:r>
          </w:p>
        </w:tc>
        <w:tc>
          <w:tcPr>
            <w:tcW w:w="159" w:type="dxa"/>
            <w:tcBorders/>
            <w:vAlign w:val="bottom"/>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Accrued liabilities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8,193</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5,045</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Operating lease liability</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827</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605</w:t>
            </w:r>
          </w:p>
        </w:tc>
        <w:tc>
          <w:tcPr>
            <w:tcW w:w="159"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Total current liabilities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13,626</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9,726</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Operating lease liability, net of current portion</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1,156</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1,482</w:t>
            </w:r>
          </w:p>
        </w:tc>
        <w:tc>
          <w:tcPr>
            <w:tcW w:w="159"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Total liabilities</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14,782</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11,208</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Commitments and contingencies (Note 9)</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Series A redeemable convertible preferred stock: $0.0001 par value – 22,601,626 shares authorized, issued and outstanding as of June 30, 2026 and December 31, 2025 (liquidation preference of $34,750 as of June 30, 2026)</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34,650</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34,650</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Series B redeemable convertible preferred stock: $0.0001 par value – 9,309,492 shares authorized, issued and outstanding as of June 30, 2026 and December 31, 2025 (liquidation preference of $84,019 as of June 30, 2026)</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83,836</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83,836</w:t>
            </w:r>
          </w:p>
        </w:tc>
        <w:tc>
          <w:tcPr>
            <w:tcW w:w="159" w:type="dxa"/>
            <w:tcBorders/>
            <w:vAlign w:val="bottom"/>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Series C redeemable convertible preferred stock: $0.001 par value – 27,203,243 shares authorized as of June 30, 2026 and December 31, 2025. 27,203,243 and 19,824,535 shares issued and outstanding as of June 30, 2026 and December 31, 2025, respectively (liquidation preference of $184,133 as of June 30, 2026)</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192,685</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133,116</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Stockholders’ deficit:</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Common stock: $0.0001 par value – 71,000,000 authorized shares as of June 30, 2026 and December 31, 2025; 44,000 shares issued and outstanding as of June 30, 2026 and December 31, 2025</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Additional paid-in-capital</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2,448</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9,515</w:t>
            </w:r>
          </w:p>
        </w:tc>
        <w:tc>
          <w:tcPr>
            <w:tcW w:w="159" w:type="dxa"/>
            <w:tcBorders/>
            <w:vAlign w:val="bottom"/>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Accumulated deficit</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(221,890</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(172,978</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Accumulated other comprehensive income (loss)</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right"/>
              <w:rPr/>
            </w:pPr>
            <w:r>
              <w:rPr/>
              <w:t>21</w:t>
            </w:r>
          </w:p>
        </w:tc>
        <w:tc>
          <w:tcPr>
            <w:tcW w:w="159"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Arial" w:hAnsi="Arial"/>
                <w:sz w:val="19"/>
              </w:rPr>
            </w:pPr>
            <w:r>
              <w:rPr>
                <w:rFonts w:ascii="Arial" w:hAnsi="Arial"/>
                <w:sz w:val="19"/>
              </w:rPr>
              <w:t>Total stockholders’ deficit</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(219,455</w:t>
            </w:r>
          </w:p>
        </w:tc>
        <w:tc>
          <w:tcPr>
            <w:tcW w:w="155"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right"/>
              <w:rPr/>
            </w:pPr>
            <w:r>
              <w:rPr/>
              <w:t>(163,442</w:t>
            </w:r>
          </w:p>
        </w:tc>
        <w:tc>
          <w:tcPr>
            <w:tcW w:w="159" w:type="dxa"/>
            <w:tcBorders/>
            <w:shd w:fill="CCEEFF" w:val="clear"/>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6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Arial" w:hAnsi="Arial"/>
                <w:sz w:val="19"/>
              </w:rPr>
            </w:pPr>
            <w:r>
              <w:rPr>
                <w:rFonts w:ascii="Arial" w:hAnsi="Arial"/>
                <w:sz w:val="19"/>
              </w:rPr>
              <w:t>Total liabilities, redeemable convertible preferred stock and stockholders’ deficit</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24" w:type="dxa"/>
            <w:tcBorders/>
            <w:vAlign w:val="bottom"/>
          </w:tcPr>
          <w:p>
            <w:pPr>
              <w:pStyle w:val="TableContents"/>
              <w:bidi w:val="0"/>
              <w:spacing w:before="0" w:after="283"/>
              <w:jc w:val="right"/>
              <w:rPr/>
            </w:pPr>
            <w:r>
              <w:rPr/>
              <w:t>106,498</w:t>
            </w:r>
          </w:p>
        </w:tc>
        <w:tc>
          <w:tcPr>
            <w:tcW w:w="15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624" w:type="dxa"/>
            <w:tcBorders/>
            <w:vAlign w:val="bottom"/>
          </w:tcPr>
          <w:p>
            <w:pPr>
              <w:pStyle w:val="TableContents"/>
              <w:bidi w:val="0"/>
              <w:spacing w:before="0" w:after="283"/>
              <w:jc w:val="right"/>
              <w:rPr/>
            </w:pPr>
            <w:r>
              <w:rPr/>
              <w:t>99,368</w:t>
            </w:r>
          </w:p>
        </w:tc>
        <w:tc>
          <w:tcPr>
            <w:tcW w:w="159"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62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3" w:name="fin61940_9"/>
      <w:bookmarkEnd w:id="33"/>
      <w:r>
        <w:rPr>
          <w:rFonts w:ascii="Arial" w:hAnsi="Arial"/>
          <w:b/>
          <w:sz w:val="20"/>
        </w:rPr>
        <w:t xml:space="preserve">Condensed Statements of Operations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54"/>
        <w:gridCol w:w="225"/>
        <w:gridCol w:w="140"/>
        <w:gridCol w:w="952"/>
        <w:gridCol w:w="158"/>
        <w:gridCol w:w="196"/>
        <w:gridCol w:w="140"/>
        <w:gridCol w:w="782"/>
        <w:gridCol w:w="158"/>
      </w:tblGrid>
      <w:tr>
        <w:trPr/>
        <w:tc>
          <w:tcPr>
            <w:tcW w:w="7454"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5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36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9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2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54"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41,637</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18,792</w:t>
            </w:r>
          </w:p>
        </w:tc>
        <w:tc>
          <w:tcPr>
            <w:tcW w:w="158" w:type="dxa"/>
            <w:tcBorders/>
            <w:vAlign w:val="bottom"/>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8,593</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5,921</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General and administrative – related party</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656</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50,230</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25,369</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Loss from operations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(50,230</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(25,369</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454" w:type="dxa"/>
            <w:tcBorders/>
          </w:tcPr>
          <w:p>
            <w:pPr>
              <w:pStyle w:val="TableContents"/>
              <w:bidi w:val="0"/>
              <w:spacing w:before="0" w:after="0"/>
              <w:jc w:val="left"/>
              <w:rPr>
                <w:rFonts w:ascii="Arial" w:hAnsi="Arial"/>
                <w:sz w:val="19"/>
              </w:rPr>
            </w:pPr>
            <w:r>
              <w:rPr>
                <w:rFonts w:ascii="Arial" w:hAnsi="Arial"/>
                <w:sz w:val="19"/>
              </w:rPr>
              <w:t>Interest income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1,320</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337</w:t>
            </w:r>
          </w:p>
        </w:tc>
        <w:tc>
          <w:tcPr>
            <w:tcW w:w="158" w:type="dxa"/>
            <w:tcBorders/>
            <w:vAlign w:val="bottom"/>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(327</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Other income (expense)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1,318</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Net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(48,912</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(25,361</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Deemed dividend to Series C redeemable convertible preferred stockholders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(9,675</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Net loss attributable to common stockholders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(58,587</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(25,361</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basic and diluted</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(1,331.52</w:t>
            </w:r>
          </w:p>
        </w:tc>
        <w:tc>
          <w:tcPr>
            <w:tcW w:w="158"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(576.39</w:t>
            </w:r>
          </w:p>
        </w:tc>
        <w:tc>
          <w:tcPr>
            <w:tcW w:w="158" w:type="dxa"/>
            <w:tcBorders/>
            <w:shd w:fill="CCEEFF" w:val="clear"/>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54" w:type="dxa"/>
            <w:tcBorders/>
          </w:tcPr>
          <w:p>
            <w:pPr>
              <w:pStyle w:val="TableContents"/>
              <w:bidi w:val="0"/>
              <w:spacing w:before="0" w:after="0"/>
              <w:jc w:val="left"/>
              <w:rPr>
                <w:rFonts w:ascii="Arial" w:hAnsi="Arial"/>
                <w:sz w:val="19"/>
              </w:rPr>
            </w:pPr>
            <w:r>
              <w:rPr>
                <w:rFonts w:ascii="Arial" w:hAnsi="Arial"/>
                <w:sz w:val="19"/>
              </w:rPr>
              <w:t>Weighted-average common shares outstanding, basic and diluted</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44,000</w:t>
            </w:r>
          </w:p>
        </w:tc>
        <w:tc>
          <w:tcPr>
            <w:tcW w:w="15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44,000</w:t>
            </w:r>
          </w:p>
        </w:tc>
        <w:tc>
          <w:tcPr>
            <w:tcW w:w="158" w:type="dxa"/>
            <w:tcBorders/>
            <w:vAlign w:val="bottom"/>
          </w:tcPr>
          <w:p>
            <w:pPr>
              <w:pStyle w:val="TableContents"/>
              <w:bidi w:val="0"/>
              <w:spacing w:before="0" w:after="283"/>
              <w:jc w:val="left"/>
              <w:rPr/>
            </w:pPr>
            <w:r>
              <w:rPr/>
              <w:t> </w:t>
            </w:r>
          </w:p>
        </w:tc>
      </w:tr>
      <w:tr>
        <w:trPr/>
        <w:tc>
          <w:tcPr>
            <w:tcW w:w="7454"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20"/>
        </w:rPr>
      </w:pPr>
      <w:r>
        <w:rPr>
          <w:rFonts w:ascii="Arial" w:hAnsi="Arial"/>
          <w:sz w:val="20"/>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4" w:name="fin61940_9a"/>
      <w:bookmarkEnd w:id="34"/>
      <w:r>
        <w:rPr>
          <w:rFonts w:ascii="Arial" w:hAnsi="Arial"/>
          <w:b/>
          <w:sz w:val="20"/>
        </w:rPr>
        <w:t xml:space="preserve">Condensed Statements of Comprehensive Loss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02"/>
        <w:gridCol w:w="120"/>
        <w:gridCol w:w="140"/>
        <w:gridCol w:w="761"/>
        <w:gridCol w:w="239"/>
        <w:gridCol w:w="483"/>
        <w:gridCol w:w="140"/>
        <w:gridCol w:w="761"/>
        <w:gridCol w:w="159"/>
      </w:tblGrid>
      <w:tr>
        <w:trPr/>
        <w:tc>
          <w:tcPr>
            <w:tcW w:w="7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2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740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239"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9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402" w:type="dxa"/>
            <w:tcBorders/>
            <w:shd w:fill="CCEEFF" w:val="clear"/>
          </w:tcPr>
          <w:p>
            <w:pPr>
              <w:pStyle w:val="TableContents"/>
              <w:bidi w:val="0"/>
              <w:spacing w:before="0" w:after="0"/>
              <w:jc w:val="left"/>
              <w:rPr>
                <w:rFonts w:ascii="Arial" w:hAnsi="Arial"/>
                <w:sz w:val="19"/>
              </w:rPr>
            </w:pPr>
            <w:r>
              <w:rPr>
                <w:rFonts w:ascii="Arial" w:hAnsi="Arial"/>
                <w:sz w:val="19"/>
              </w:rPr>
              <w:t>Net loss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(48,912</w:t>
            </w:r>
          </w:p>
        </w:tc>
        <w:tc>
          <w:tcPr>
            <w:tcW w:w="239"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(25,361</w:t>
            </w:r>
          </w:p>
        </w:tc>
        <w:tc>
          <w:tcPr>
            <w:tcW w:w="159" w:type="dxa"/>
            <w:tcBorders/>
            <w:shd w:fill="CCEEFF" w:val="clear"/>
            <w:vAlign w:val="bottom"/>
          </w:tcPr>
          <w:p>
            <w:pPr>
              <w:pStyle w:val="TableContents"/>
              <w:bidi w:val="0"/>
              <w:spacing w:before="0" w:after="283"/>
              <w:jc w:val="left"/>
              <w:rPr/>
            </w:pPr>
            <w:r>
              <w:rPr/>
              <w:t>) </w:t>
            </w:r>
          </w:p>
        </w:tc>
      </w:tr>
      <w:tr>
        <w:trPr/>
        <w:tc>
          <w:tcPr>
            <w:tcW w:w="7402" w:type="dxa"/>
            <w:tcBorders/>
          </w:tcPr>
          <w:p>
            <w:pPr>
              <w:pStyle w:val="TableContents"/>
              <w:bidi w:val="0"/>
              <w:spacing w:before="0" w:after="0"/>
              <w:jc w:val="left"/>
              <w:rPr>
                <w:rFonts w:ascii="Arial" w:hAnsi="Arial"/>
                <w:sz w:val="19"/>
              </w:rPr>
            </w:pPr>
            <w:r>
              <w:rPr>
                <w:rFonts w:ascii="Arial" w:hAnsi="Arial"/>
                <w:sz w:val="19"/>
              </w:rPr>
              <w:t>Unrealized gain (loss) on marketable securities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(34</w:t>
            </w:r>
          </w:p>
        </w:tc>
        <w:tc>
          <w:tcPr>
            <w:tcW w:w="239"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740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2" w:type="dxa"/>
            <w:tcBorders/>
            <w:shd w:fill="CCEEFF" w:val="clear"/>
          </w:tcPr>
          <w:p>
            <w:pPr>
              <w:pStyle w:val="TableContents"/>
              <w:bidi w:val="0"/>
              <w:spacing w:before="0" w:after="0"/>
              <w:jc w:val="left"/>
              <w:rPr>
                <w:rFonts w:ascii="Arial" w:hAnsi="Arial"/>
                <w:sz w:val="19"/>
              </w:rPr>
            </w:pPr>
            <w:r>
              <w:rPr>
                <w:rFonts w:ascii="Arial" w:hAnsi="Arial"/>
                <w:sz w:val="19"/>
              </w:rPr>
              <w:t>Total comprehensive loss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(48,946</w:t>
            </w:r>
          </w:p>
        </w:tc>
        <w:tc>
          <w:tcPr>
            <w:tcW w:w="239"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(25,362</w:t>
            </w:r>
          </w:p>
        </w:tc>
        <w:tc>
          <w:tcPr>
            <w:tcW w:w="159" w:type="dxa"/>
            <w:tcBorders/>
            <w:shd w:fill="CCEEFF" w:val="clear"/>
            <w:vAlign w:val="bottom"/>
          </w:tcPr>
          <w:p>
            <w:pPr>
              <w:pStyle w:val="TableContents"/>
              <w:bidi w:val="0"/>
              <w:spacing w:before="0" w:after="283"/>
              <w:jc w:val="left"/>
              <w:rPr/>
            </w:pPr>
            <w:r>
              <w:rPr/>
              <w:t>) </w:t>
            </w:r>
          </w:p>
        </w:tc>
      </w:tr>
      <w:tr>
        <w:trPr/>
        <w:tc>
          <w:tcPr>
            <w:tcW w:w="740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5" w:name="fin61940_11"/>
      <w:bookmarkEnd w:id="35"/>
      <w:r>
        <w:rPr>
          <w:rFonts w:ascii="Arial" w:hAnsi="Arial"/>
          <w:b/>
          <w:sz w:val="20"/>
        </w:rPr>
        <w:t xml:space="preserve">Condensed Statements of Redeemable Convertible Preferred Stock and Stockholders’ Deficit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0290" w:type="dxa"/>
        <w:jc w:val="center"/>
        <w:tblInd w:w="0" w:type="dxa"/>
        <w:tblLayout w:type="fixed"/>
        <w:tblCellMar>
          <w:top w:w="0" w:type="dxa"/>
          <w:left w:w="0" w:type="dxa"/>
          <w:bottom w:w="0" w:type="dxa"/>
          <w:right w:w="0" w:type="dxa"/>
        </w:tblCellMar>
      </w:tblPr>
      <w:tblGrid>
        <w:gridCol w:w="1670"/>
        <w:gridCol w:w="60"/>
        <w:gridCol w:w="60"/>
        <w:gridCol w:w="1100"/>
        <w:gridCol w:w="60"/>
        <w:gridCol w:w="60"/>
        <w:gridCol w:w="192"/>
        <w:gridCol w:w="938"/>
        <w:gridCol w:w="60"/>
        <w:gridCol w:w="60"/>
        <w:gridCol w:w="60"/>
        <w:gridCol w:w="980"/>
        <w:gridCol w:w="60"/>
        <w:gridCol w:w="60"/>
        <w:gridCol w:w="192"/>
        <w:gridCol w:w="938"/>
        <w:gridCol w:w="60"/>
        <w:gridCol w:w="60"/>
        <w:gridCol w:w="60"/>
        <w:gridCol w:w="1100"/>
        <w:gridCol w:w="60"/>
        <w:gridCol w:w="60"/>
        <w:gridCol w:w="168"/>
        <w:gridCol w:w="962"/>
        <w:gridCol w:w="60"/>
        <w:gridCol w:w="60"/>
        <w:gridCol w:w="99"/>
        <w:gridCol w:w="896"/>
        <w:gridCol w:w="60"/>
        <w:gridCol w:w="60"/>
        <w:gridCol w:w="395"/>
        <w:gridCol w:w="735"/>
        <w:gridCol w:w="60"/>
        <w:gridCol w:w="60"/>
        <w:gridCol w:w="290"/>
        <w:gridCol w:w="1320"/>
        <w:gridCol w:w="155"/>
        <w:gridCol w:w="60"/>
        <w:gridCol w:w="275"/>
        <w:gridCol w:w="1725"/>
        <w:gridCol w:w="155"/>
        <w:gridCol w:w="60"/>
        <w:gridCol w:w="646"/>
        <w:gridCol w:w="1549"/>
        <w:gridCol w:w="155"/>
        <w:gridCol w:w="60"/>
        <w:gridCol w:w="292"/>
        <w:gridCol w:w="1828"/>
        <w:gridCol w:w="15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A</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B</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C</w:t>
              <w:br/>
              <w:t>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0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95" w:type="dxa"/>
            <w:gridSpan w:val="2"/>
            <w:vMerge w:val="restart"/>
            <w:tcBorders>
              <w:bottom w:val="single" w:sz="2" w:space="0" w:color="000000"/>
            </w:tcBorders>
            <w:tcMar>
              <w:bottom w:w="28" w:type="dxa"/>
            </w:tcMar>
            <w:vAlign w:val="bottom"/>
          </w:tcPr>
          <w:p>
            <w:pPr>
              <w:pStyle w:val="TableContents"/>
              <w:bidi w:val="0"/>
              <w:spacing w:before="0" w:after="283"/>
              <w:jc w:val="center"/>
              <w:rPr/>
            </w:pPr>
            <w:r>
              <w:rPr>
                <w:b/>
              </w:rP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2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000" w:type="dxa"/>
            <w:gridSpan w:val="2"/>
            <w:vMerge w:val="continue"/>
            <w:tcBorders/>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2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670"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9,309,492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19,824,535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133,116</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9,515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(172,978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(163,442</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Issuance of Series C redeemable convertible preferred stock, net of issuance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7,378,708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59,569</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Deemed dividend to Series C redeemable convertible preferred stockholders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(9,675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(9,675</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2,394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2,394</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Other comprehensive income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(48,912</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b/>
                <w:sz w:val="16"/>
              </w:rPr>
            </w:pPr>
            <w:r>
              <w:rPr>
                <w:rFonts w:ascii="Arial" w:hAnsi="Arial"/>
                <w:b/>
                <w:sz w:val="16"/>
              </w:rPr>
              <w:t>Balance as of 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22,601,626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34,650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27,203,243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192,685</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44,000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2,448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(221,890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w:t>
            </w:r>
          </w:p>
        </w:tc>
        <w:tc>
          <w:tcPr>
            <w:tcW w:w="1549"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(219,455</w:t>
            </w:r>
          </w:p>
        </w:tc>
        <w:tc>
          <w:tcPr>
            <w:tcW w:w="15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A</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B</w:t>
              <w:br/>
              <w:t>REDEEMABLE</w:t>
              <w:br/>
              <w:t>CONVERTIBLE</w:t>
              <w:b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SERIES C</w:t>
              <w:br/>
              <w:t>REDEEMABLE</w:t>
              <w:b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0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95" w:type="dxa"/>
            <w:gridSpan w:val="2"/>
            <w:vMerge w:val="restart"/>
            <w:tcBorders>
              <w:bottom w:val="single" w:sz="2" w:space="0" w:color="000000"/>
            </w:tcBorders>
            <w:tcMar>
              <w:bottom w:w="28" w:type="dxa"/>
            </w:tcMar>
            <w:vAlign w:val="bottom"/>
          </w:tcPr>
          <w:p>
            <w:pPr>
              <w:pStyle w:val="TableContents"/>
              <w:bidi w:val="0"/>
              <w:spacing w:before="0" w:after="283"/>
              <w:jc w:val="center"/>
              <w:rPr/>
            </w:pPr>
            <w:r>
              <w:rPr>
                <w:b/>
              </w:rPr>
              <w:t>OTHER</w:t>
              <w:b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20" w:type="dxa"/>
            <w:gridSpan w:val="2"/>
            <w:vMerge w:val="restart"/>
            <w:tcBorders>
              <w:bottom w:val="single" w:sz="2"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61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000" w:type="dxa"/>
            <w:gridSpan w:val="2"/>
            <w:vMerge w:val="continue"/>
            <w:tcBorders/>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9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12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670" w:type="dxa"/>
            <w:tcBorders/>
            <w:shd w:fill="CCEEFF" w:val="clear"/>
          </w:tcPr>
          <w:p>
            <w:pPr>
              <w:pStyle w:val="TableContents"/>
              <w:bidi w:val="0"/>
              <w:spacing w:before="0" w:after="0"/>
              <w:jc w:val="left"/>
              <w:rPr>
                <w:rFonts w:ascii="Arial" w:hAnsi="Arial"/>
                <w:b/>
                <w:sz w:val="16"/>
              </w:rPr>
            </w:pPr>
            <w:r>
              <w:rPr>
                <w:rFonts w:ascii="Arial" w:hAnsi="Arial"/>
                <w:b/>
                <w:sz w:val="16"/>
              </w:rPr>
              <w:t>Balance as of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9,309,492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83,836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7,741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725" w:type="dxa"/>
            <w:tcBorders/>
            <w:shd w:fill="CCEEFF" w:val="clear"/>
            <w:vAlign w:val="bottom"/>
          </w:tcPr>
          <w:p>
            <w:pPr>
              <w:pStyle w:val="TableContents"/>
              <w:bidi w:val="0"/>
              <w:spacing w:before="0" w:after="283"/>
              <w:jc w:val="right"/>
              <w:rPr/>
            </w:pPr>
            <w:r>
              <w:rPr/>
              <w:t>(111,003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w:t>
            </w:r>
          </w:p>
        </w:tc>
        <w:tc>
          <w:tcPr>
            <w:tcW w:w="154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(103,261</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Stock-based compensation – profits interest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249</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Stock-based compensation expense –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sz w:val="16"/>
              </w:rPr>
            </w:pPr>
            <w:r>
              <w:rPr>
                <w:rFonts w:ascii="Arial" w:hAnsi="Arial"/>
                <w:sz w:val="16"/>
              </w:rPr>
              <w:t>Other comprehensive income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670" w:type="dxa"/>
            <w:tcBorders/>
            <w:shd w:fill="CCEEFF" w:val="clear"/>
          </w:tcPr>
          <w:p>
            <w:pPr>
              <w:pStyle w:val="TableContents"/>
              <w:bidi w:val="0"/>
              <w:spacing w:before="0" w:after="0"/>
              <w:jc w:val="left"/>
              <w:rPr>
                <w:rFonts w:ascii="Arial" w:hAnsi="Arial"/>
                <w:sz w:val="16"/>
              </w:rPr>
            </w:pPr>
            <w:r>
              <w:rPr>
                <w:rFonts w:ascii="Arial" w:hAnsi="Arial"/>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(25,361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54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(25,361</w:t>
            </w:r>
          </w:p>
        </w:tc>
        <w:tc>
          <w:tcPr>
            <w:tcW w:w="155"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7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670" w:type="dxa"/>
            <w:tcBorders/>
          </w:tcPr>
          <w:p>
            <w:pPr>
              <w:pStyle w:val="TableContents"/>
              <w:bidi w:val="0"/>
              <w:spacing w:before="0" w:after="0"/>
              <w:jc w:val="left"/>
              <w:rPr>
                <w:rFonts w:ascii="Arial" w:hAnsi="Arial"/>
                <w:b/>
                <w:sz w:val="16"/>
              </w:rPr>
            </w:pPr>
            <w:r>
              <w:rPr>
                <w:rFonts w:ascii="Arial" w:hAnsi="Arial"/>
                <w:b/>
                <w:sz w:val="16"/>
              </w:rPr>
              <w:t>Balance as of June 30,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22,601,626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34,650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44,000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8,646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w:t>
            </w:r>
          </w:p>
        </w:tc>
        <w:tc>
          <w:tcPr>
            <w:tcW w:w="1725" w:type="dxa"/>
            <w:tcBorders/>
            <w:vAlign w:val="bottom"/>
          </w:tcPr>
          <w:p>
            <w:pPr>
              <w:pStyle w:val="TableContents"/>
              <w:bidi w:val="0"/>
              <w:spacing w:before="0" w:after="283"/>
              <w:jc w:val="right"/>
              <w:rPr/>
            </w:pPr>
            <w:r>
              <w:rPr/>
              <w:t>(136,364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w:t>
            </w:r>
          </w:p>
        </w:tc>
        <w:tc>
          <w:tcPr>
            <w:tcW w:w="154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828" w:type="dxa"/>
            <w:tcBorders/>
            <w:vAlign w:val="bottom"/>
          </w:tcPr>
          <w:p>
            <w:pPr>
              <w:pStyle w:val="TableContents"/>
              <w:bidi w:val="0"/>
              <w:spacing w:before="0" w:after="283"/>
              <w:jc w:val="right"/>
              <w:rPr/>
            </w:pPr>
            <w:r>
              <w:rPr/>
              <w:t>(127,718</w:t>
            </w:r>
          </w:p>
        </w:tc>
        <w:tc>
          <w:tcPr>
            <w:tcW w:w="155" w:type="dxa"/>
            <w:tcBorders/>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7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5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8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ELECTRA THERAPEUTICS, INC. </w:t>
      </w:r>
    </w:p>
    <w:p>
      <w:pPr>
        <w:pStyle w:val="TextBody"/>
        <w:bidi w:val="0"/>
        <w:spacing w:before="120" w:after="0"/>
        <w:jc w:val="center"/>
        <w:rPr>
          <w:rFonts w:ascii="Arial" w:hAnsi="Arial"/>
          <w:b/>
          <w:sz w:val="20"/>
        </w:rPr>
      </w:pPr>
      <w:bookmarkStart w:id="36" w:name="fin61940_12"/>
      <w:bookmarkEnd w:id="36"/>
      <w:r>
        <w:rPr>
          <w:rFonts w:ascii="Arial" w:hAnsi="Arial"/>
          <w:b/>
          <w:sz w:val="20"/>
        </w:rPr>
        <w:t xml:space="preserve">Condensed Statements of Cash Flows </w:t>
      </w:r>
    </w:p>
    <w:p>
      <w:pPr>
        <w:pStyle w:val="TextBody"/>
        <w:bidi w:val="0"/>
        <w:spacing w:before="0" w:after="0"/>
        <w:jc w:val="center"/>
        <w:rPr>
          <w:rFonts w:ascii="Arial" w:hAnsi="Arial"/>
          <w:b/>
          <w:sz w:val="20"/>
        </w:rPr>
      </w:pPr>
      <w:r>
        <w:rPr>
          <w:rFonts w:ascii="Arial" w:hAnsi="Arial"/>
          <w:b/>
          <w:sz w:val="20"/>
        </w:rPr>
        <w:t xml:space="preserve">(Unaudited) </w:t>
      </w:r>
    </w:p>
    <w:p>
      <w:pPr>
        <w:pStyle w:val="TextBody"/>
        <w:bidi w:val="0"/>
        <w:spacing w:before="0" w:after="0"/>
        <w:jc w:val="center"/>
        <w:rPr>
          <w:rFonts w:ascii="Arial" w:hAnsi="Arial"/>
          <w:sz w:val="19"/>
        </w:rPr>
      </w:pPr>
      <w:r>
        <w:rPr>
          <w:rFonts w:ascii="Arial" w:hAnsi="Arial"/>
          <w:sz w:val="19"/>
        </w:rPr>
        <w:t xml:space="preserve">(In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43"/>
        <w:gridCol w:w="345"/>
        <w:gridCol w:w="243"/>
        <w:gridCol w:w="1333"/>
        <w:gridCol w:w="271"/>
        <w:gridCol w:w="333"/>
        <w:gridCol w:w="243"/>
        <w:gridCol w:w="1335"/>
        <w:gridCol w:w="159"/>
      </w:tblGrid>
      <w:tr>
        <w:trPr/>
        <w:tc>
          <w:tcPr>
            <w:tcW w:w="594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4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758"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576"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578"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b/>
                <w:sz w:val="19"/>
              </w:rPr>
            </w:pPr>
            <w:r>
              <w:rPr>
                <w:rFonts w:ascii="Arial" w:hAnsi="Arial"/>
                <w:b/>
                <w:sz w:val="19"/>
              </w:rPr>
              <w:t>Cash flows from operating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Net loss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(48,912</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5" w:type="dxa"/>
            <w:tcBorders/>
            <w:vAlign w:val="bottom"/>
          </w:tcPr>
          <w:p>
            <w:pPr>
              <w:pStyle w:val="TableContents"/>
              <w:bidi w:val="0"/>
              <w:spacing w:before="0" w:after="283"/>
              <w:jc w:val="right"/>
              <w:rPr/>
            </w:pPr>
            <w:r>
              <w:rPr/>
              <w:t>(25,361</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Adjustments to reconcile net loss to net cash used in operating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Stock-based compensation expenses - profits interest units and options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2,608</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905</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Depreciation and amortization</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122</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Non-cash interest expense – related party</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327</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Non-cash lease expense</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280</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Amortization of premiums and discounts of marketable securities, net</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(540</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Changes in assets and liabilities: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Other receivables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(44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Prepaid expenses and other current assets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6,376</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(2,490</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Operating lease liabilities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(104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Other assets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(709</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(937</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Accounts payable</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74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2,854</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Accounts payable – related party</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(79</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Accrued liabilities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1,970</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202</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Accrued liabilities – related party</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(122</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Net cash used in operating activities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(38,879</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(24,688</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b/>
                <w:sz w:val="19"/>
              </w:rPr>
            </w:pPr>
            <w:r>
              <w:rPr>
                <w:rFonts w:ascii="Arial" w:hAnsi="Arial"/>
                <w:b/>
                <w:sz w:val="19"/>
              </w:rPr>
              <w:t>Cash flows from investing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43" w:type="dxa"/>
            <w:tcBorders/>
          </w:tcPr>
          <w:p>
            <w:pPr>
              <w:pStyle w:val="TableContents"/>
              <w:bidi w:val="0"/>
              <w:spacing w:before="0" w:after="0"/>
              <w:jc w:val="left"/>
              <w:rPr>
                <w:rFonts w:ascii="Arial" w:hAnsi="Arial"/>
                <w:sz w:val="19"/>
              </w:rPr>
            </w:pPr>
            <w:r>
              <w:rPr>
                <w:rFonts w:ascii="Arial" w:hAnsi="Arial"/>
                <w:sz w:val="19"/>
              </w:rPr>
              <w:t>Proceeds from maturity of marketable securities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37,420</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997</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Purchases of marketable securities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(14,622</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Purchase of equipment</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(27</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(116</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Net cash provided by investing activities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22,771</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881</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b/>
                <w:sz w:val="19"/>
              </w:rPr>
            </w:pPr>
            <w:r>
              <w:rPr>
                <w:rFonts w:ascii="Arial" w:hAnsi="Arial"/>
                <w:b/>
                <w:sz w:val="19"/>
              </w:rPr>
              <w:t>Cash flows from financing activities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Proceeds from the issuance of convertible promissory notes – related party</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40,000</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Proceeds from the issuance of Series C redeemable convertible preferred stock, net of less than $0.1 million issuance costs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49,894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Payment of deferred offering costs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(287</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Net cash provided by financing activities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49,607</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40,000</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Net increase in cash and cash equivalents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33,499</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16,193</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Cash and cash equivalents at the beginning of the period</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33,008</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14,787</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3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Cash and cash equivalents at the end of the period</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66,507</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30,980</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b/>
                <w:sz w:val="19"/>
              </w:rPr>
            </w:pPr>
            <w:r>
              <w:rPr>
                <w:rFonts w:ascii="Arial" w:hAnsi="Arial"/>
                <w:b/>
                <w:sz w:val="19"/>
              </w:rPr>
              <w:t>Supplemental disclosures: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133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Cash paid for taxes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8</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tcPr>
          <w:p>
            <w:pPr>
              <w:pStyle w:val="TableContents"/>
              <w:bidi w:val="0"/>
              <w:spacing w:before="0" w:after="0"/>
              <w:jc w:val="left"/>
              <w:rPr>
                <w:rFonts w:ascii="Arial" w:hAnsi="Arial"/>
                <w:sz w:val="19"/>
              </w:rPr>
            </w:pPr>
            <w:r>
              <w:rPr>
                <w:rFonts w:ascii="Arial" w:hAnsi="Arial"/>
                <w:sz w:val="19"/>
              </w:rPr>
              <w:t>Unpaid deferred offering costs included in accrued expenses and other current liabilities</w:t>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1,634</w:t>
            </w:r>
          </w:p>
        </w:tc>
        <w:tc>
          <w:tcPr>
            <w:tcW w:w="271"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335"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43" w:type="dxa"/>
            <w:tcBorders/>
            <w:shd w:fill="CCEEFF" w:val="clear"/>
          </w:tcPr>
          <w:p>
            <w:pPr>
              <w:pStyle w:val="TableContents"/>
              <w:bidi w:val="0"/>
              <w:spacing w:before="0" w:after="0"/>
              <w:jc w:val="left"/>
              <w:rPr>
                <w:rFonts w:ascii="Arial" w:hAnsi="Arial"/>
                <w:sz w:val="19"/>
              </w:rPr>
            </w:pPr>
            <w:r>
              <w:rPr>
                <w:rFonts w:ascii="Arial" w:hAnsi="Arial"/>
                <w:sz w:val="19"/>
              </w:rPr>
              <w:t>Deemed dividend to Series C redeemable convertible preferred stockholders</w:t>
            </w:r>
          </w:p>
        </w:tc>
        <w:tc>
          <w:tcPr>
            <w:tcW w:w="34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9,675</w:t>
            </w:r>
          </w:p>
        </w:tc>
        <w:tc>
          <w:tcPr>
            <w:tcW w:w="271"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5943"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271"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3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center"/>
        <w:rPr>
          <w:rFonts w:ascii="Arial" w:hAnsi="Arial"/>
          <w:sz w:val="19"/>
        </w:rPr>
      </w:pPr>
      <w:r>
        <w:rPr>
          <w:rFonts w:ascii="Arial" w:hAnsi="Arial"/>
          <w:sz w:val="19"/>
        </w:rPr>
        <w:t xml:space="preserve">See accompanying notes to the condensed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bookmarkStart w:id="37" w:name="fin61940_13"/>
      <w:bookmarkEnd w:id="37"/>
      <w:r>
        <w:rPr>
          <w:rFonts w:ascii="Arial" w:hAnsi="Arial"/>
          <w:b/>
          <w:sz w:val="20"/>
        </w:rPr>
        <w:t xml:space="preserve">1. Organization and Description of Business </w:t>
      </w:r>
    </w:p>
    <w:p>
      <w:pPr>
        <w:pStyle w:val="TextBody"/>
        <w:bidi w:val="0"/>
        <w:spacing w:before="80" w:after="0"/>
        <w:jc w:val="left"/>
        <w:rPr>
          <w:rFonts w:ascii="Arial" w:hAnsi="Arial"/>
          <w:b/>
          <w:i/>
          <w:sz w:val="19"/>
        </w:rPr>
      </w:pPr>
      <w:r>
        <w:rPr>
          <w:rFonts w:ascii="Arial" w:hAnsi="Arial"/>
          <w:b/>
          <w:i/>
          <w:sz w:val="19"/>
        </w:rPr>
        <w:t xml:space="preserve">Description of Business </w:t>
      </w:r>
    </w:p>
    <w:p>
      <w:pPr>
        <w:pStyle w:val="TextBody"/>
        <w:bidi w:val="0"/>
        <w:spacing w:before="40" w:after="0"/>
        <w:jc w:val="left"/>
        <w:rPr>
          <w:rFonts w:ascii="Arial" w:hAnsi="Arial"/>
          <w:sz w:val="19"/>
        </w:rPr>
      </w:pPr>
      <w:r>
        <w:rPr>
          <w:rFonts w:ascii="Arial" w:hAnsi="Arial"/>
          <w:sz w:val="19"/>
        </w:rPr>
        <w:t>Electra Therapeutics, Inc. (“Electra”, or the “Company”) was incorporated in 2018 and is a late clinical-stage biopharmaceutical company focused on pioneering a new class of precision medicines for the treatment of immune-mediated diseases and cancer. The Company’s novel approach targets signal regulatory proteins (“SIRP”), a family of cell surface receptors whose expression is restricted to specific immune cell populations and increases upon activation, to enable selective depletion of disease-driving cells while preserving normal immune function. The Company’s lead product candidate is ipsoprubart, a novel pan-SIRP monoclonal antibody designed to selectively deplete pathological myeloid cells and T cells via binding to SIRP</w:t>
      </w:r>
      <w:r>
        <w:rPr>
          <w:rFonts w:ascii="SYMBOL" w:hAnsi="SYMBOL"/>
          <w:sz w:val="19"/>
        </w:rPr>
        <w:t>a</w:t>
      </w:r>
      <w:r>
        <w:rPr>
          <w:rFonts w:ascii="Arial" w:hAnsi="Arial"/>
          <w:sz w:val="19"/>
        </w:rPr>
        <w:t>/ß1/</w:t>
      </w:r>
      <w:r>
        <w:rPr>
          <w:rFonts w:ascii="SYMBOL" w:hAnsi="SYMBOL"/>
          <w:sz w:val="19"/>
        </w:rPr>
        <w:t>g</w:t>
      </w:r>
      <w:r>
        <w:rPr>
          <w:rFonts w:ascii="Arial" w:hAnsi="Arial"/>
          <w:sz w:val="19"/>
        </w:rPr>
        <w:t xml:space="preserve">. The Company is also advancing ELA822, a novel SIRP </w:t>
      </w:r>
      <w:r>
        <w:rPr>
          <w:rFonts w:ascii="SYMBOL" w:hAnsi="SYMBOL"/>
          <w:sz w:val="19"/>
        </w:rPr>
        <w:t>g</w:t>
      </w:r>
      <w:r>
        <w:rPr>
          <w:rFonts w:ascii="Arial" w:hAnsi="Arial"/>
          <w:sz w:val="19"/>
        </w:rPr>
        <w:t xml:space="preserve">-specific monoclonal antibody designed to selectively deplete activated T cells, with potential applications across chronic T cell mediated immune and inflammatory diseases. </w:t>
      </w:r>
    </w:p>
    <w:p>
      <w:pPr>
        <w:pStyle w:val="TextBody"/>
        <w:bidi w:val="0"/>
        <w:spacing w:before="80" w:after="0"/>
        <w:jc w:val="left"/>
        <w:rPr>
          <w:rFonts w:ascii="Arial" w:hAnsi="Arial"/>
          <w:b/>
          <w:i/>
          <w:sz w:val="19"/>
        </w:rPr>
      </w:pPr>
      <w:r>
        <w:rPr>
          <w:rFonts w:ascii="Arial" w:hAnsi="Arial"/>
          <w:b/>
          <w:i/>
          <w:sz w:val="19"/>
        </w:rPr>
        <w:t xml:space="preserve">Unaudited Condensed Financial Information </w:t>
      </w:r>
    </w:p>
    <w:p>
      <w:pPr>
        <w:pStyle w:val="TextBody"/>
        <w:bidi w:val="0"/>
        <w:spacing w:before="40" w:after="0"/>
        <w:jc w:val="left"/>
        <w:rPr>
          <w:rFonts w:ascii="Arial" w:hAnsi="Arial"/>
          <w:sz w:val="19"/>
        </w:rPr>
      </w:pPr>
      <w:r>
        <w:rPr>
          <w:rFonts w:ascii="Arial" w:hAnsi="Arial"/>
          <w:sz w:val="19"/>
        </w:rPr>
        <w:t xml:space="preserve">The accompanying unaudited condensed financial statements as of June 30, 2026 and for the six months ended June 30, 2026 and 2025 have been prepared in accordance with U.S. generally accepted accounting principles (“GAAP”) for interim financial information and pursuant to Article 10 of Regulation S-X of the Securities and Exchange Commission (“SEC”). Accordingly, the accompanying unaudited condensed financial statements do not include all of the information and notes required by GAAP for complete financial statements. The unaudited condensed financial statements reflect all adjustments which, in the opinion of management, are necessary for a fair statement of the results for the periods presented. All such adjustments are of a normal and recurring nature. These interim results are not necessarily indicative of results expected for the full fiscal year or any future interim period. The condensed balance sheet as of December 31, 2025 has been derived from the audited financial statements at that date but does not include all of the information and footnotes required by GAAP for complete financial statements. The unaudited condensed financial statements should be read in conjunction with the audited financial statements and notes thereto. </w:t>
      </w:r>
    </w:p>
    <w:p>
      <w:pPr>
        <w:pStyle w:val="TextBody"/>
        <w:bidi w:val="0"/>
        <w:spacing w:before="80" w:after="0"/>
        <w:jc w:val="left"/>
        <w:rPr>
          <w:rFonts w:ascii="Arial" w:hAnsi="Arial"/>
          <w:b/>
          <w:i/>
          <w:sz w:val="19"/>
        </w:rPr>
      </w:pPr>
      <w:r>
        <w:rPr>
          <w:rFonts w:ascii="Arial" w:hAnsi="Arial"/>
          <w:b/>
          <w:i/>
          <w:sz w:val="19"/>
        </w:rPr>
        <w:t xml:space="preserve">Liquidity and Going Concern </w:t>
      </w:r>
    </w:p>
    <w:p>
      <w:pPr>
        <w:pStyle w:val="TextBody"/>
        <w:bidi w:val="0"/>
        <w:spacing w:before="40" w:after="0"/>
        <w:jc w:val="left"/>
        <w:rPr>
          <w:rFonts w:ascii="Arial" w:hAnsi="Arial"/>
          <w:sz w:val="19"/>
        </w:rPr>
      </w:pPr>
      <w:r>
        <w:rPr>
          <w:rFonts w:ascii="Arial" w:hAnsi="Arial"/>
          <w:sz w:val="19"/>
        </w:rPr>
        <w:t xml:space="preserve">As of June 30, 2026, the Company had total cash, cash equivalents and marketable securities of $97.7 million. The Company has incurred significant net operating losses from operations and had an accumulated deficit of $221.9 million as of June 30, 2026. During the six months ended June 30, 2026, the Company incurred a net loss of $48.9 million. The Company had no debt obligation outstanding as of June 30, 2026. Additionally, the Company anticipates that its net operating losses and negative operating cash flows will continue to increase for the foreseeable future as it continues to expand its research and development programs. The Company expects that its cash, cash equivalents and marketable securities as of June 30, 2026 will not be sufficient to fund its current business plan including related operating expenditure requirements through at least 12 months from the date of issuance of these condensed financial statements. These conditions and events raise substantial doubt about the Company’s ability to continue as a going concern. </w:t>
      </w:r>
    </w:p>
    <w:p>
      <w:pPr>
        <w:pStyle w:val="TextBody"/>
        <w:bidi w:val="0"/>
        <w:spacing w:before="180" w:after="0"/>
        <w:jc w:val="left"/>
        <w:rPr>
          <w:rFonts w:ascii="Arial" w:hAnsi="Arial"/>
          <w:sz w:val="19"/>
        </w:rPr>
      </w:pPr>
      <w:r>
        <w:rPr>
          <w:rFonts w:ascii="Arial" w:hAnsi="Arial"/>
          <w:sz w:val="19"/>
        </w:rPr>
        <w:t xml:space="preserve">The Company’s long-term success is dependent upon its ability to successfully develop and market its pharmaceutical candidates, obtain additional capital when needed and, ultimately, to achieve profitable operations. </w:t>
      </w:r>
    </w:p>
    <w:p>
      <w:pPr>
        <w:pStyle w:val="TextBody"/>
        <w:bidi w:val="0"/>
        <w:spacing w:before="180" w:after="0"/>
        <w:jc w:val="left"/>
        <w:rPr>
          <w:rFonts w:ascii="Arial" w:hAnsi="Arial"/>
          <w:sz w:val="19"/>
        </w:rPr>
      </w:pPr>
      <w:r>
        <w:rPr>
          <w:rFonts w:ascii="Arial" w:hAnsi="Arial"/>
          <w:sz w:val="19"/>
        </w:rPr>
        <w:t xml:space="preserve">The Company plans to raise additional capital to continue funding its development efforts and operations. The Company is actively pursuing raising additional capital; however, there can be no assurance that funds will be available to the Company on acceptable terms, or on a timely basis, if at all based on both market conditions and management’s control. If the Company is unable to obtain an adequate level of capital needed to continue its research and development activities, the Company will need to delay, reduce or eliminate some or all of its planned activities and reduce costs. Doing so will likely have an adverse effect on the ability to execute the Company’s business plan. It is not considered probable that the Company’s plans to raise additional capital nor reduce discretionary spending will alleviate the substantial doubt regarding its ability to continue as a going concern. </w:t>
      </w:r>
    </w:p>
    <w:p>
      <w:pPr>
        <w:pStyle w:val="TextBody"/>
        <w:bidi w:val="0"/>
        <w:spacing w:before="180" w:after="0"/>
        <w:jc w:val="left"/>
        <w:rPr>
          <w:rFonts w:ascii="Arial" w:hAnsi="Arial"/>
          <w:sz w:val="19"/>
        </w:rPr>
      </w:pPr>
      <w:r>
        <w:rPr>
          <w:rFonts w:ascii="Arial" w:hAnsi="Arial"/>
          <w:sz w:val="19"/>
        </w:rPr>
        <w:t xml:space="preserve">The accompanying condensed financial statements do not include any adjustments relating to the recoverability and classification of recorded asset amounts or the amounts and classification of liabilities that might result from the outcome of these uncertainties.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Risks and Uncertainties </w:t>
      </w:r>
    </w:p>
    <w:p>
      <w:pPr>
        <w:pStyle w:val="TextBody"/>
        <w:bidi w:val="0"/>
        <w:spacing w:before="40" w:after="0"/>
        <w:jc w:val="left"/>
        <w:rPr>
          <w:rFonts w:ascii="Arial" w:hAnsi="Arial"/>
          <w:sz w:val="19"/>
        </w:rPr>
      </w:pPr>
      <w:r>
        <w:rPr>
          <w:rFonts w:ascii="Arial" w:hAnsi="Arial"/>
          <w:sz w:val="19"/>
        </w:rPr>
        <w:t xml:space="preserve">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change of internal trade relations, new legislation and tariffs, and the ability to secure additional capital to fund operations and commercial success of its product candidates. Ipsoprubart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 </w:t>
      </w:r>
    </w:p>
    <w:p>
      <w:pPr>
        <w:pStyle w:val="TextBody"/>
        <w:bidi w:val="0"/>
        <w:spacing w:before="240" w:after="0"/>
        <w:jc w:val="left"/>
        <w:rPr>
          <w:rFonts w:ascii="Arial" w:hAnsi="Arial"/>
          <w:b/>
          <w:sz w:val="20"/>
        </w:rPr>
      </w:pPr>
      <w:r>
        <w:rPr>
          <w:rFonts w:ascii="Arial" w:hAnsi="Arial"/>
          <w:b/>
          <w:sz w:val="20"/>
        </w:rPr>
        <w:t xml:space="preserve">2. Summary of Significant Accounting Policies </w:t>
      </w:r>
    </w:p>
    <w:p>
      <w:pPr>
        <w:pStyle w:val="TextBody"/>
        <w:bidi w:val="0"/>
        <w:spacing w:before="80" w:after="0"/>
        <w:jc w:val="left"/>
        <w:rPr>
          <w:rFonts w:ascii="Arial" w:hAnsi="Arial"/>
          <w:sz w:val="19"/>
        </w:rPr>
      </w:pPr>
      <w:r>
        <w:rPr>
          <w:rFonts w:ascii="Arial" w:hAnsi="Arial"/>
          <w:sz w:val="19"/>
        </w:rPr>
        <w:t xml:space="preserve">The Company’s significant accounting policies are disclosed in the audited financial statements for the years ended December 31, 2025 and 2024, included elsewhere in this prospectus. Since the date of those annual financial statements, there have been no changes to the Company’s significant accounting policies, except as noted below. </w:t>
      </w:r>
    </w:p>
    <w:p>
      <w:pPr>
        <w:pStyle w:val="TextBody"/>
        <w:bidi w:val="0"/>
        <w:spacing w:before="80" w:after="0"/>
        <w:jc w:val="left"/>
        <w:rPr>
          <w:rFonts w:ascii="Arial" w:hAnsi="Arial"/>
          <w:b/>
          <w:i/>
          <w:sz w:val="19"/>
        </w:rPr>
      </w:pPr>
      <w:r>
        <w:rPr>
          <w:rFonts w:ascii="Arial" w:hAnsi="Arial"/>
          <w:b/>
          <w:i/>
          <w:sz w:val="19"/>
        </w:rPr>
        <w:t xml:space="preserve">Deferred Offering Costs </w:t>
      </w:r>
    </w:p>
    <w:p>
      <w:pPr>
        <w:pStyle w:val="TextBody"/>
        <w:bidi w:val="0"/>
        <w:spacing w:before="40" w:after="0"/>
        <w:jc w:val="left"/>
        <w:rPr>
          <w:rFonts w:ascii="Arial" w:hAnsi="Arial"/>
          <w:sz w:val="19"/>
        </w:rPr>
      </w:pPr>
      <w:r>
        <w:rPr>
          <w:rFonts w:ascii="Arial" w:hAnsi="Arial"/>
          <w:sz w:val="19"/>
        </w:rPr>
        <w:t xml:space="preserve">The Company capitalizes certain legal, professional accounting and other third-party fees that are directly associated with the in-process equity financing as deferred offering costs until such financing is consummated. After consummation of such equity financing, these costs are recorded as a reduction of the proceeds generated as a result of the offering within additional paid in capital. In the event the planned equity financing is abandoned, the deferred offering costs will be reclassified to general and administrative expenses in the Company’s statements of operations. The Company did not record any deferred issuance costs as of December 31, 2025, and recorded deferred offering costs of $1.9 million within other assets, non-current as of June 30, 2026. </w:t>
      </w:r>
    </w:p>
    <w:p>
      <w:pPr>
        <w:pStyle w:val="TextBody"/>
        <w:bidi w:val="0"/>
        <w:spacing w:before="80" w:after="0"/>
        <w:jc w:val="left"/>
        <w:rPr>
          <w:rFonts w:ascii="Arial" w:hAnsi="Arial"/>
          <w:b/>
          <w:i/>
          <w:sz w:val="19"/>
        </w:rPr>
      </w:pPr>
      <w:r>
        <w:rPr>
          <w:rFonts w:ascii="Arial" w:hAnsi="Arial"/>
          <w:b/>
          <w:i/>
          <w:sz w:val="19"/>
        </w:rPr>
        <w:t xml:space="preserve">Performance-Based Options </w:t>
      </w:r>
    </w:p>
    <w:p>
      <w:pPr>
        <w:pStyle w:val="TextBody"/>
        <w:bidi w:val="0"/>
        <w:spacing w:before="40" w:after="0"/>
        <w:jc w:val="left"/>
        <w:rPr>
          <w:rFonts w:ascii="Arial" w:hAnsi="Arial"/>
          <w:sz w:val="19"/>
        </w:rPr>
      </w:pPr>
      <w:r>
        <w:rPr>
          <w:rFonts w:ascii="Arial" w:hAnsi="Arial"/>
          <w:sz w:val="19"/>
        </w:rPr>
        <w:t xml:space="preserve">The Company has issued stock options that vest in conjunction with performance conditions. For performance-based options, the Company recognizes share-based compensation expense over the requisite service period when achievement of the performance criteria is considered probable based on the Company’s best estimate at the end of each reporting period. </w:t>
      </w:r>
    </w:p>
    <w:p>
      <w:pPr>
        <w:pStyle w:val="TextBody"/>
        <w:bidi w:val="0"/>
        <w:spacing w:before="240" w:after="0"/>
        <w:jc w:val="left"/>
        <w:rPr>
          <w:rFonts w:ascii="Arial" w:hAnsi="Arial"/>
          <w:b/>
          <w:sz w:val="20"/>
        </w:rPr>
      </w:pPr>
      <w:r>
        <w:rPr>
          <w:rFonts w:ascii="Arial" w:hAnsi="Arial"/>
          <w:b/>
          <w:sz w:val="20"/>
        </w:rPr>
        <w:t xml:space="preserve">3. Related Party Transactions </w:t>
      </w:r>
    </w:p>
    <w:p>
      <w:pPr>
        <w:pStyle w:val="TextBody"/>
        <w:bidi w:val="0"/>
        <w:spacing w:before="80" w:after="0"/>
        <w:jc w:val="left"/>
        <w:rPr>
          <w:rFonts w:ascii="Arial" w:hAnsi="Arial"/>
          <w:b/>
          <w:i/>
          <w:sz w:val="19"/>
        </w:rPr>
      </w:pPr>
      <w:r>
        <w:rPr>
          <w:rFonts w:ascii="Arial" w:hAnsi="Arial"/>
          <w:b/>
          <w:i/>
          <w:sz w:val="19"/>
        </w:rPr>
        <w:t xml:space="preserve">Intercompany Services Agreements with Star Therapeutics, Inc. </w:t>
      </w:r>
    </w:p>
    <w:p>
      <w:pPr>
        <w:pStyle w:val="TextBody"/>
        <w:bidi w:val="0"/>
        <w:spacing w:before="40" w:after="0"/>
        <w:jc w:val="left"/>
        <w:rPr>
          <w:rFonts w:ascii="Arial" w:hAnsi="Arial"/>
          <w:sz w:val="19"/>
        </w:rPr>
      </w:pPr>
      <w:r>
        <w:rPr>
          <w:rFonts w:ascii="Arial" w:hAnsi="Arial"/>
          <w:sz w:val="19"/>
        </w:rPr>
        <w:t xml:space="preserve">Prior to January 1, 2024, the Company did not have any employees and the Company’s operations were conducted by employees of a subsidiary of Star Therapeutics LLC (“Star LLC”), Star Therapeutics, Inc. (“Star Inc.”), Electra’s parent company through June 2023. These related party transactions were governed by the Mutual Intercompany Services Agreements (“ISA”) between the Company and Star Inc., through its termination on October 31, 2025. Per the ISA, the Company bore all expenses incurred by Star Inc. in performing its duties in accordance with the agreements and in managing and operating the businesses of Electra with a minimal mark-up on expenses. Accordingly, expenses incurred and paid through the affiliated entity’s operating account on behalf of Electra were reimbursed by the Company to Star Inc. Operating expenses incurred by the affiliated entity included but were not limited to: service provider employee compensation expenses and other related overhead such as rent and general office expenses, utilities, information technology services, insurance, human resource management, taxes and other personnel costs. </w:t>
      </w:r>
    </w:p>
    <w:p>
      <w:pPr>
        <w:pStyle w:val="TextBody"/>
        <w:bidi w:val="0"/>
        <w:spacing w:before="180" w:after="0"/>
        <w:jc w:val="left"/>
        <w:rPr>
          <w:rFonts w:ascii="Arial" w:hAnsi="Arial"/>
          <w:sz w:val="19"/>
        </w:rPr>
      </w:pPr>
      <w:r>
        <w:rPr>
          <w:rFonts w:ascii="Arial" w:hAnsi="Arial"/>
          <w:sz w:val="19"/>
        </w:rPr>
        <w:t xml:space="preserve">The Company incurred $0.7 million of expenses under the ISA during the six months ended June 30, 2025, which were reimbursed by the Company to Star Inc. The Company did not incur expenses under the ISA during the six months ended June 30, 2026 due to its termination on October 31, 2025. As of June 30, 2026 and December 31, 2025, there were no amounts due to or from Star Inc. related to the ISA. </w:t>
      </w:r>
    </w:p>
    <w:p>
      <w:pPr>
        <w:pStyle w:val="TextBody"/>
        <w:bidi w:val="0"/>
        <w:spacing w:before="80" w:after="0"/>
        <w:jc w:val="left"/>
        <w:rPr>
          <w:rFonts w:ascii="Arial" w:hAnsi="Arial"/>
          <w:b/>
          <w:i/>
          <w:sz w:val="19"/>
        </w:rPr>
      </w:pPr>
      <w:r>
        <w:rPr>
          <w:rFonts w:ascii="Arial" w:hAnsi="Arial"/>
          <w:b/>
          <w:i/>
          <w:sz w:val="19"/>
        </w:rPr>
        <w:t xml:space="preserve">Convertible Promissory Notes </w:t>
      </w:r>
    </w:p>
    <w:p>
      <w:pPr>
        <w:pStyle w:val="TextBody"/>
        <w:bidi w:val="0"/>
        <w:spacing w:before="40" w:after="0"/>
        <w:jc w:val="left"/>
        <w:rPr>
          <w:rFonts w:ascii="Arial" w:hAnsi="Arial"/>
          <w:sz w:val="19"/>
        </w:rPr>
      </w:pPr>
      <w:r>
        <w:rPr>
          <w:rFonts w:ascii="Arial" w:hAnsi="Arial"/>
          <w:sz w:val="19"/>
        </w:rPr>
        <w:t xml:space="preserve">On March 7, 2025, the Company issued convertible promissory notes with an aggregate principal amount of $20.0 million (the “Initial Notes”) to existing investors of the Company’s redeemable convertible preferred stock. On June 30, 2025, the Company issued additional convertible promissory notes with an aggregate principal amount of $20.0 million (the “Subsequent Notes” and, together with the Initial Notes, the “Notes”) to existing investors of the Company’s redeemable convertible preferred stock. The Notes bore interest at 8% per annum and were scheduled to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mature on June 30, 2026. However, on October 15, 2025, the Company completed a qualified preferred stock equity financing through the issuance of Series C redeemable convertible preferred stock (the “Series C Preferred Stock”). In accordance with their original terms, the outstanding principal of the Notes and all accrued and unpaid interest, totaling $41.4 million, automatically converted into 6,121,225 shares of Series C Preferred Stock at a conversion price of $6.7688 per share on that date. The conversion price equaled the cash price per share paid by unrelated third-party investors participating in the Series C Preferred Stock financing. As of June 30, 2026 and December 31, 2025, no convertible promissory notes remained outstanding (see Note 8 – Convertible Notes – Related Party and Note 10 – Redeemable Convertible Preferred Stock). </w:t>
      </w:r>
    </w:p>
    <w:p>
      <w:pPr>
        <w:pStyle w:val="TextBody"/>
        <w:bidi w:val="0"/>
        <w:spacing w:before="240" w:after="0"/>
        <w:jc w:val="left"/>
        <w:rPr>
          <w:rFonts w:ascii="Arial" w:hAnsi="Arial"/>
          <w:b/>
          <w:sz w:val="20"/>
        </w:rPr>
      </w:pPr>
      <w:r>
        <w:rPr>
          <w:rFonts w:ascii="Arial" w:hAnsi="Arial"/>
          <w:b/>
          <w:sz w:val="20"/>
        </w:rPr>
        <w:t xml:space="preserve">4. Fair Value Measurements </w:t>
      </w:r>
    </w:p>
    <w:p>
      <w:pPr>
        <w:pStyle w:val="TextBody"/>
        <w:bidi w:val="0"/>
        <w:spacing w:before="80" w:after="0"/>
        <w:jc w:val="left"/>
        <w:rPr>
          <w:rFonts w:ascii="Arial" w:hAnsi="Arial"/>
          <w:sz w:val="19"/>
        </w:rPr>
      </w:pPr>
      <w:r>
        <w:rPr>
          <w:rFonts w:ascii="Arial" w:hAnsi="Arial"/>
          <w:sz w:val="19"/>
        </w:rPr>
        <w:t xml:space="preserve">On a recurring basis, the Company measures certain financial assets and liabilities at fair value, including the Company’s cash equivalents and marketable securities. The following tables summarize the Company’s assets measured at fair value on a recurring basis, by level, within the fair value hierarchy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75"/>
        <w:gridCol w:w="268"/>
        <w:gridCol w:w="177"/>
        <w:gridCol w:w="905"/>
        <w:gridCol w:w="60"/>
        <w:gridCol w:w="268"/>
        <w:gridCol w:w="177"/>
        <w:gridCol w:w="905"/>
        <w:gridCol w:w="60"/>
        <w:gridCol w:w="268"/>
        <w:gridCol w:w="367"/>
        <w:gridCol w:w="744"/>
        <w:gridCol w:w="60"/>
        <w:gridCol w:w="268"/>
        <w:gridCol w:w="160"/>
        <w:gridCol w:w="777"/>
        <w:gridCol w:w="66"/>
      </w:tblGrid>
      <w:tr>
        <w:trPr/>
        <w:tc>
          <w:tcPr>
            <w:tcW w:w="467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7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5196"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JUNE 30, 2026</w:t>
            </w:r>
          </w:p>
        </w:tc>
        <w:tc>
          <w:tcPr>
            <w:tcW w:w="66" w:type="dxa"/>
            <w:tcBorders/>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8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3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7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jc w:val="left"/>
              <w:rPr>
                <w:rFonts w:ascii="Arial" w:hAnsi="Arial"/>
                <w:sz w:val="19"/>
              </w:rPr>
            </w:pPr>
            <w:r>
              <w:rPr>
                <w:rFonts w:ascii="Arial" w:hAnsi="Arial"/>
                <w:sz w:val="19"/>
              </w:rPr>
              <w:t>Money market funds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66,011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66,011</w:t>
            </w:r>
          </w:p>
        </w:tc>
        <w:tc>
          <w:tcPr>
            <w:tcW w:w="66" w:type="dxa"/>
            <w:tcBorders/>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66,011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66,011</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7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77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8,508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8,508</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1,991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1,991</w:t>
            </w:r>
          </w:p>
        </w:tc>
        <w:tc>
          <w:tcPr>
            <w:tcW w:w="66" w:type="dxa"/>
            <w:tcBorders/>
            <w:vAlign w:val="bottom"/>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12,653</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12,653</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sz w:val="19"/>
              </w:rPr>
            </w:pPr>
            <w:r>
              <w:rPr>
                <w:rFonts w:ascii="Arial" w:hAnsi="Arial"/>
                <w:sz w:val="19"/>
              </w:rPr>
              <w:t>Corporate securities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5,558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5,558</w:t>
            </w:r>
          </w:p>
        </w:tc>
        <w:tc>
          <w:tcPr>
            <w:tcW w:w="66" w:type="dxa"/>
            <w:tcBorders/>
            <w:vAlign w:val="bottom"/>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Asset backed securities</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2,508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2,508</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tcPr>
          <w:p>
            <w:pPr>
              <w:pStyle w:val="TableContents"/>
              <w:bidi w:val="0"/>
              <w:spacing w:before="0" w:after="0"/>
              <w:jc w:val="left"/>
              <w:rPr>
                <w:rFonts w:ascii="Arial" w:hAnsi="Arial"/>
                <w:sz w:val="19"/>
              </w:rPr>
            </w:pPr>
            <w:r>
              <w:rPr>
                <w:rFonts w:ascii="Arial" w:hAnsi="Arial"/>
                <w:sz w:val="19"/>
              </w:rPr>
              <w:t>Total marketable securities</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31,218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31,218</w:t>
            </w:r>
          </w:p>
        </w:tc>
        <w:tc>
          <w:tcPr>
            <w:tcW w:w="66" w:type="dxa"/>
            <w:tcBorders/>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7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75" w:type="dxa"/>
            <w:tcBorders/>
            <w:shd w:fill="CCEEFF" w:val="clear"/>
          </w:tcPr>
          <w:p>
            <w:pPr>
              <w:pStyle w:val="TableContents"/>
              <w:bidi w:val="0"/>
              <w:spacing w:before="0" w:after="0"/>
              <w:jc w:val="left"/>
              <w:rPr>
                <w:rFonts w:ascii="Arial" w:hAnsi="Arial"/>
                <w:sz w:val="19"/>
              </w:rPr>
            </w:pPr>
            <w:r>
              <w:rPr>
                <w:rFonts w:ascii="Arial" w:hAnsi="Arial"/>
                <w:sz w:val="19"/>
              </w:rPr>
              <w:t>Total assets measured at fair value</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66,011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31,218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w:t>
            </w:r>
          </w:p>
        </w:tc>
        <w:tc>
          <w:tcPr>
            <w:tcW w:w="74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97,229</w:t>
            </w:r>
          </w:p>
        </w:tc>
        <w:tc>
          <w:tcPr>
            <w:tcW w:w="66" w:type="dxa"/>
            <w:tcBorders/>
            <w:shd w:fill="CCEEFF" w:val="clear"/>
            <w:vAlign w:val="bottom"/>
          </w:tcPr>
          <w:p>
            <w:pPr>
              <w:pStyle w:val="TableContents"/>
              <w:bidi w:val="0"/>
              <w:spacing w:before="0" w:after="283"/>
              <w:jc w:val="left"/>
              <w:rPr/>
            </w:pPr>
            <w:r>
              <w:rPr/>
              <w:t> </w:t>
            </w:r>
          </w:p>
        </w:tc>
      </w:tr>
      <w:tr>
        <w:trPr/>
        <w:tc>
          <w:tcPr>
            <w:tcW w:w="467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7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3"/>
        <w:gridCol w:w="269"/>
        <w:gridCol w:w="193"/>
        <w:gridCol w:w="892"/>
        <w:gridCol w:w="60"/>
        <w:gridCol w:w="269"/>
        <w:gridCol w:w="193"/>
        <w:gridCol w:w="892"/>
        <w:gridCol w:w="60"/>
        <w:gridCol w:w="269"/>
        <w:gridCol w:w="367"/>
        <w:gridCol w:w="689"/>
        <w:gridCol w:w="60"/>
        <w:gridCol w:w="269"/>
        <w:gridCol w:w="192"/>
        <w:gridCol w:w="750"/>
        <w:gridCol w:w="68"/>
      </w:tblGrid>
      <w:tr>
        <w:trPr/>
        <w:tc>
          <w:tcPr>
            <w:tcW w:w="4713"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155"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FAIR VALUE AS OF DECEMBER 31, 2025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4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b/>
                <w:sz w:val="19"/>
              </w:rPr>
            </w:pPr>
            <w:r>
              <w:rPr>
                <w:rFonts w:ascii="Arial" w:hAnsi="Arial"/>
                <w:b/>
                <w:sz w:val="19"/>
              </w:rPr>
              <w:t>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7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713" w:type="dxa"/>
            <w:tcBorders/>
          </w:tcPr>
          <w:p>
            <w:pPr>
              <w:pStyle w:val="TableContents"/>
              <w:bidi w:val="0"/>
              <w:spacing w:before="0" w:after="0"/>
              <w:jc w:val="left"/>
              <w:rPr>
                <w:rFonts w:ascii="Arial" w:hAnsi="Arial"/>
                <w:sz w:val="19"/>
              </w:rPr>
            </w:pPr>
            <w:r>
              <w:rPr>
                <w:rFonts w:ascii="Arial" w:hAnsi="Arial"/>
                <w:sz w:val="19"/>
              </w:rPr>
              <w:t>Money market funds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26,517</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1,998</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Commercial paper</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3,995</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3,995</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cash equivalents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26,517</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5,993</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32,510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b/>
                <w:sz w:val="19"/>
              </w:rPr>
            </w:pPr>
            <w:r>
              <w:rPr>
                <w:rFonts w:ascii="Arial" w:hAnsi="Arial"/>
                <w:b/>
                <w:sz w:val="19"/>
              </w:rPr>
              <w:t>Marketable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8,988</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8,988</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5,959</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5,959</w:t>
            </w:r>
          </w:p>
        </w:tc>
        <w:tc>
          <w:tcPr>
            <w:tcW w:w="68"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29,559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29,559</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Corporate securities</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9,004</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9,004</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Arial" w:hAnsi="Arial"/>
                <w:sz w:val="19"/>
              </w:rPr>
            </w:pPr>
            <w:r>
              <w:rPr>
                <w:rFonts w:ascii="Arial" w:hAnsi="Arial"/>
                <w:sz w:val="19"/>
              </w:rPr>
              <w:t>Total marketable securities</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53,510</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53,510</w:t>
            </w:r>
          </w:p>
        </w:tc>
        <w:tc>
          <w:tcPr>
            <w:tcW w:w="68"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Arial" w:hAnsi="Arial"/>
                <w:sz w:val="19"/>
              </w:rPr>
            </w:pPr>
            <w:r>
              <w:rPr>
                <w:rFonts w:ascii="Arial" w:hAnsi="Arial"/>
                <w:sz w:val="19"/>
              </w:rPr>
              <w:t>Total assets measured at fair value</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26,517</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59,503</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86,020</w:t>
            </w:r>
          </w:p>
        </w:tc>
        <w:tc>
          <w:tcPr>
            <w:tcW w:w="68"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36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7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Money market funds are included within Level 1 of the fair value hierarchy because they are valued using quoted market prices. Agency discount notes, asset-backed securities, commercial paper, corporate securities and U.S. government securities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similar securities, issuer credit spreads, benchmark securities, prepayment or default projections based on historical data and other observable inputs. The Company did not have any Level 3 securities, and there were no transfers between Level 2 or 3, during the six months ended June 30, 2026 or for the year ended December 31, 2025. All debt securities are Level 2 and classified as available-for-sale. </w:t>
      </w:r>
    </w:p>
    <w:p>
      <w:pPr>
        <w:pStyle w:val="TextBody"/>
        <w:bidi w:val="0"/>
        <w:spacing w:before="180" w:after="0"/>
        <w:jc w:val="left"/>
        <w:rPr>
          <w:rFonts w:ascii="Arial" w:hAnsi="Arial"/>
          <w:sz w:val="19"/>
        </w:rPr>
      </w:pPr>
      <w:r>
        <w:rPr>
          <w:rFonts w:ascii="Arial" w:hAnsi="Arial"/>
          <w:sz w:val="19"/>
        </w:rPr>
        <w:t xml:space="preserve">As of June 30, 2026 and December 31, 2025, the Company had no financial liabilities that required fair value measurement. The carrying values of other current assets, accounts payable and accrued expenses approximate their fair values due to the short-term nature of these assets and liabilities. </w:t>
      </w:r>
    </w:p>
    <w:p>
      <w:pPr>
        <w:pStyle w:val="TextBody"/>
        <w:bidi w:val="0"/>
        <w:spacing w:before="240" w:after="0"/>
        <w:jc w:val="left"/>
        <w:rPr>
          <w:rFonts w:ascii="Arial" w:hAnsi="Arial"/>
          <w:b/>
          <w:sz w:val="20"/>
        </w:rPr>
      </w:pPr>
      <w:r>
        <w:rPr>
          <w:rFonts w:ascii="Arial" w:hAnsi="Arial"/>
          <w:b/>
          <w:sz w:val="20"/>
        </w:rPr>
        <w:t xml:space="preserve">5. Marketable Securities </w:t>
      </w:r>
    </w:p>
    <w:p>
      <w:pPr>
        <w:pStyle w:val="TextBody"/>
        <w:bidi w:val="0"/>
        <w:spacing w:before="80" w:after="0"/>
        <w:jc w:val="left"/>
        <w:rPr>
          <w:rFonts w:ascii="Arial" w:hAnsi="Arial"/>
          <w:sz w:val="19"/>
        </w:rPr>
      </w:pPr>
      <w:r>
        <w:rPr>
          <w:rFonts w:ascii="Arial" w:hAnsi="Arial"/>
          <w:sz w:val="19"/>
        </w:rPr>
        <w:t xml:space="preserve">The following tables summarize the amortized cost and the unrealized gains (losses) of the marketable securities presented within cash equivalents and marketable securities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6"/>
        <w:gridCol w:w="245"/>
        <w:gridCol w:w="264"/>
        <w:gridCol w:w="1304"/>
        <w:gridCol w:w="60"/>
        <w:gridCol w:w="245"/>
        <w:gridCol w:w="584"/>
        <w:gridCol w:w="1090"/>
        <w:gridCol w:w="60"/>
        <w:gridCol w:w="245"/>
        <w:gridCol w:w="495"/>
        <w:gridCol w:w="1178"/>
        <w:gridCol w:w="155"/>
        <w:gridCol w:w="188"/>
        <w:gridCol w:w="263"/>
        <w:gridCol w:w="1304"/>
        <w:gridCol w:w="69"/>
      </w:tblGrid>
      <w:tr>
        <w:trPr/>
        <w:tc>
          <w:tcPr>
            <w:tcW w:w="2456"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45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435"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JUNE 30, 2026</w:t>
            </w:r>
          </w:p>
        </w:tc>
        <w:tc>
          <w:tcPr>
            <w:tcW w:w="69"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6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7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(LOSS)</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6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9"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456"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1,993</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1,991</w:t>
            </w:r>
          </w:p>
        </w:tc>
        <w:tc>
          <w:tcPr>
            <w:tcW w:w="69"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12,656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12,653</w:t>
            </w:r>
          </w:p>
        </w:tc>
        <w:tc>
          <w:tcPr>
            <w:tcW w:w="69" w:type="dxa"/>
            <w:tcBorders/>
            <w:shd w:fill="CCEEFF" w:val="clear"/>
            <w:vAlign w:val="bottom"/>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Arial" w:hAnsi="Arial"/>
                <w:sz w:val="19"/>
              </w:rPr>
            </w:pPr>
            <w:r>
              <w:rPr>
                <w:rFonts w:ascii="Arial" w:hAnsi="Arial"/>
                <w:sz w:val="19"/>
              </w:rPr>
              <w:t>Corporate securities</w:t>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5,560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5,558</w:t>
            </w:r>
          </w:p>
        </w:tc>
        <w:tc>
          <w:tcPr>
            <w:tcW w:w="69"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sz w:val="19"/>
              </w:rPr>
            </w:pPr>
            <w:r>
              <w:rPr>
                <w:rFonts w:ascii="Arial" w:hAnsi="Arial"/>
                <w:sz w:val="19"/>
              </w:rPr>
              <w:t>Asset-backed securities</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2,510</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2,508</w:t>
            </w:r>
          </w:p>
        </w:tc>
        <w:tc>
          <w:tcPr>
            <w:tcW w:w="69" w:type="dxa"/>
            <w:tcBorders/>
            <w:shd w:fill="CCEEFF" w:val="clear"/>
            <w:vAlign w:val="bottom"/>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Arial" w:hAnsi="Arial"/>
                <w:sz w:val="19"/>
              </w:rPr>
            </w:pPr>
            <w:r>
              <w:rPr>
                <w:rFonts w:ascii="Arial" w:hAnsi="Arial"/>
                <w:sz w:val="19"/>
              </w:rPr>
              <w:t>U.S. Government securities</w:t>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8,512</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8,508</w:t>
            </w:r>
          </w:p>
        </w:tc>
        <w:tc>
          <w:tcPr>
            <w:tcW w:w="69"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Arial" w:hAnsi="Arial"/>
                <w:sz w:val="19"/>
              </w:rPr>
            </w:pPr>
            <w:r>
              <w:rPr>
                <w:rFonts w:ascii="Arial" w:hAnsi="Arial"/>
                <w:sz w:val="19"/>
              </w:rPr>
              <w:t>Total assets measured at fair value</w:t>
            </w:r>
          </w:p>
        </w:tc>
        <w:tc>
          <w:tcPr>
            <w:tcW w:w="245"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31,231</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31,218</w:t>
            </w:r>
          </w:p>
        </w:tc>
        <w:tc>
          <w:tcPr>
            <w:tcW w:w="69" w:type="dxa"/>
            <w:tcBorders/>
            <w:shd w:fill="CCEEFF" w:val="clear"/>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2"/>
        <w:gridCol w:w="256"/>
        <w:gridCol w:w="264"/>
        <w:gridCol w:w="1305"/>
        <w:gridCol w:w="60"/>
        <w:gridCol w:w="256"/>
        <w:gridCol w:w="584"/>
        <w:gridCol w:w="1089"/>
        <w:gridCol w:w="60"/>
        <w:gridCol w:w="256"/>
        <w:gridCol w:w="584"/>
        <w:gridCol w:w="1088"/>
        <w:gridCol w:w="60"/>
        <w:gridCol w:w="256"/>
        <w:gridCol w:w="264"/>
        <w:gridCol w:w="1305"/>
        <w:gridCol w:w="66"/>
      </w:tblGrid>
      <w:tr>
        <w:trPr/>
        <w:tc>
          <w:tcPr>
            <w:tcW w:w="2452"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5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7431" w:type="dxa"/>
            <w:gridSpan w:val="14"/>
            <w:tcBorders>
              <w:bottom w:val="single" w:sz="2"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2452"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673"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672" w:type="dxa"/>
            <w:gridSpan w:val="2"/>
            <w:tcBorders>
              <w:bottom w:val="single" w:sz="2" w:space="0" w:color="000000"/>
            </w:tcBorders>
            <w:tcMar>
              <w:bottom w:w="28" w:type="dxa"/>
            </w:tcMar>
            <w:vAlign w:val="bottom"/>
          </w:tcPr>
          <w:p>
            <w:pPr>
              <w:pStyle w:val="TableContents"/>
              <w:bidi w:val="0"/>
              <w:spacing w:before="0" w:after="283"/>
              <w:jc w:val="center"/>
              <w:rPr>
                <w:b/>
              </w:rPr>
            </w:pPr>
            <w:r>
              <w:rPr>
                <w:b/>
              </w:rPr>
              <w:t>UNREALIZED</w:t>
              <w:br/>
              <w:t>(LOSS)</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569" w:type="dxa"/>
            <w:gridSpan w:val="2"/>
            <w:tcBorders>
              <w:bottom w:val="single" w:sz="2" w:space="0" w:color="000000"/>
            </w:tcBorders>
            <w:tcMar>
              <w:bottom w:w="28" w:type="dxa"/>
            </w:tcMar>
            <w:vAlign w:val="bottom"/>
          </w:tcPr>
          <w:p>
            <w:pPr>
              <w:pStyle w:val="TableContents"/>
              <w:bidi w:val="0"/>
              <w:spacing w:before="0" w:after="283"/>
              <w:jc w:val="center"/>
              <w:rPr>
                <w:b/>
              </w:rPr>
            </w:pPr>
            <w:r>
              <w:rPr>
                <w:b/>
              </w:rPr>
              <w:t>ESTIMATED</w:t>
              <w:br/>
              <w:t>FAIR VALUE</w:t>
            </w:r>
          </w:p>
        </w:tc>
        <w:tc>
          <w:tcPr>
            <w:tcW w:w="66" w:type="dxa"/>
            <w:tcBorders/>
            <w:vAlign w:val="bottom"/>
          </w:tcPr>
          <w:p>
            <w:pPr>
              <w:pStyle w:val="TableContents"/>
              <w:bidi w:val="0"/>
              <w:spacing w:before="0" w:after="283"/>
              <w:jc w:val="left"/>
              <w:rPr/>
            </w:pPr>
            <w:r>
              <w:rPr/>
              <w:t> </w:t>
            </w:r>
          </w:p>
        </w:tc>
      </w:tr>
      <w:tr>
        <w:trPr/>
        <w:tc>
          <w:tcPr>
            <w:tcW w:w="2452" w:type="dxa"/>
            <w:tcBorders/>
            <w:shd w:fill="CCEEFF" w:val="clear"/>
          </w:tcPr>
          <w:p>
            <w:pPr>
              <w:pStyle w:val="TableContents"/>
              <w:bidi w:val="0"/>
              <w:spacing w:before="0" w:after="0"/>
              <w:jc w:val="left"/>
              <w:rPr>
                <w:rFonts w:ascii="Arial" w:hAnsi="Arial"/>
                <w:b/>
                <w:sz w:val="19"/>
              </w:rPr>
            </w:pPr>
            <w:r>
              <w:rPr>
                <w:rFonts w:ascii="Arial" w:hAnsi="Arial"/>
                <w:b/>
                <w:sz w:val="19"/>
              </w:rPr>
              <w:t>Assets</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52" w:type="dxa"/>
            <w:tcBorders/>
          </w:tcPr>
          <w:p>
            <w:pPr>
              <w:pStyle w:val="TableContents"/>
              <w:bidi w:val="0"/>
              <w:spacing w:before="0" w:after="0"/>
              <w:jc w:val="left"/>
              <w:rPr>
                <w:rFonts w:ascii="Arial" w:hAnsi="Arial"/>
                <w:sz w:val="19"/>
              </w:rPr>
            </w:pPr>
            <w:r>
              <w:rPr>
                <w:rFonts w:ascii="Arial" w:hAnsi="Arial"/>
                <w:sz w:val="19"/>
              </w:rPr>
              <w:t>Agency discount notes</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7,957</w:t>
            </w:r>
          </w:p>
        </w:tc>
        <w:tc>
          <w:tcPr>
            <w:tcW w:w="66" w:type="dxa"/>
            <w:tcBorders/>
            <w:vAlign w:val="bottom"/>
          </w:tcPr>
          <w:p>
            <w:pPr>
              <w:pStyle w:val="TableContents"/>
              <w:bidi w:val="0"/>
              <w:spacing w:before="0" w:after="283"/>
              <w:jc w:val="left"/>
              <w:rPr/>
            </w:pPr>
            <w:r>
              <w:rPr/>
              <w:t> </w:t>
            </w:r>
          </w:p>
        </w:tc>
      </w:tr>
      <w:tr>
        <w:trPr/>
        <w:tc>
          <w:tcPr>
            <w:tcW w:w="2452" w:type="dxa"/>
            <w:tcBorders/>
            <w:shd w:fill="CCEEFF" w:val="clear"/>
          </w:tcPr>
          <w:p>
            <w:pPr>
              <w:pStyle w:val="TableContents"/>
              <w:bidi w:val="0"/>
              <w:spacing w:before="0" w:after="0"/>
              <w:jc w:val="left"/>
              <w:rPr>
                <w:rFonts w:ascii="Arial" w:hAnsi="Arial"/>
                <w:sz w:val="19"/>
              </w:rPr>
            </w:pPr>
            <w:r>
              <w:rPr>
                <w:rFonts w:ascii="Arial" w:hAnsi="Arial"/>
                <w:sz w:val="19"/>
              </w:rPr>
              <w:t>Commercial paper</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33,546</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33,554</w:t>
            </w:r>
          </w:p>
        </w:tc>
        <w:tc>
          <w:tcPr>
            <w:tcW w:w="66" w:type="dxa"/>
            <w:tcBorders/>
            <w:shd w:fill="CCEEFF" w:val="clear"/>
            <w:vAlign w:val="bottom"/>
          </w:tcPr>
          <w:p>
            <w:pPr>
              <w:pStyle w:val="TableContents"/>
              <w:bidi w:val="0"/>
              <w:spacing w:before="0" w:after="283"/>
              <w:jc w:val="left"/>
              <w:rPr/>
            </w:pPr>
            <w:r>
              <w:rPr/>
              <w:t> </w:t>
            </w:r>
          </w:p>
        </w:tc>
      </w:tr>
      <w:tr>
        <w:trPr/>
        <w:tc>
          <w:tcPr>
            <w:tcW w:w="2452" w:type="dxa"/>
            <w:tcBorders/>
          </w:tcPr>
          <w:p>
            <w:pPr>
              <w:pStyle w:val="TableContents"/>
              <w:bidi w:val="0"/>
              <w:spacing w:before="0" w:after="0"/>
              <w:jc w:val="left"/>
              <w:rPr>
                <w:rFonts w:ascii="Arial" w:hAnsi="Arial"/>
                <w:sz w:val="19"/>
              </w:rPr>
            </w:pPr>
            <w:r>
              <w:rPr>
                <w:rFonts w:ascii="Arial" w:hAnsi="Arial"/>
                <w:sz w:val="19"/>
              </w:rPr>
              <w:t>Corporate securities</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9,004</w:t>
            </w:r>
          </w:p>
        </w:tc>
        <w:tc>
          <w:tcPr>
            <w:tcW w:w="66" w:type="dxa"/>
            <w:tcBorders/>
            <w:vAlign w:val="bottom"/>
          </w:tcPr>
          <w:p>
            <w:pPr>
              <w:pStyle w:val="TableContents"/>
              <w:bidi w:val="0"/>
              <w:spacing w:before="0" w:after="283"/>
              <w:jc w:val="left"/>
              <w:rPr/>
            </w:pPr>
            <w:r>
              <w:rPr/>
              <w:t> </w:t>
            </w:r>
          </w:p>
        </w:tc>
      </w:tr>
      <w:tr>
        <w:trPr/>
        <w:tc>
          <w:tcPr>
            <w:tcW w:w="2452" w:type="dxa"/>
            <w:tcBorders/>
            <w:shd w:fill="CCEEFF" w:val="clear"/>
          </w:tcPr>
          <w:p>
            <w:pPr>
              <w:pStyle w:val="TableContents"/>
              <w:bidi w:val="0"/>
              <w:spacing w:before="0" w:after="0"/>
              <w:jc w:val="left"/>
              <w:rPr>
                <w:rFonts w:ascii="Arial" w:hAnsi="Arial"/>
                <w:sz w:val="19"/>
              </w:rPr>
            </w:pPr>
            <w:r>
              <w:rPr>
                <w:rFonts w:ascii="Arial" w:hAnsi="Arial"/>
                <w:sz w:val="19"/>
              </w:rPr>
              <w:t>U.S. Government securities</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8,982</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8,988</w:t>
            </w:r>
          </w:p>
        </w:tc>
        <w:tc>
          <w:tcPr>
            <w:tcW w:w="66" w:type="dxa"/>
            <w:tcBorders/>
            <w:shd w:fill="CCEEFF" w:val="clear"/>
            <w:vAlign w:val="bottom"/>
          </w:tcPr>
          <w:p>
            <w:pPr>
              <w:pStyle w:val="TableContents"/>
              <w:bidi w:val="0"/>
              <w:spacing w:before="0" w:after="283"/>
              <w:jc w:val="left"/>
              <w:rPr/>
            </w:pPr>
            <w:r>
              <w:rPr/>
              <w:t> </w:t>
            </w:r>
          </w:p>
        </w:tc>
      </w:tr>
      <w:tr>
        <w:trPr/>
        <w:tc>
          <w:tcPr>
            <w:tcW w:w="2452"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52" w:type="dxa"/>
            <w:tcBorders/>
          </w:tcPr>
          <w:p>
            <w:pPr>
              <w:pStyle w:val="TableContents"/>
              <w:bidi w:val="0"/>
              <w:spacing w:before="0" w:after="0"/>
              <w:jc w:val="left"/>
              <w:rPr>
                <w:rFonts w:ascii="Arial" w:hAnsi="Arial"/>
                <w:sz w:val="19"/>
              </w:rPr>
            </w:pPr>
            <w:r>
              <w:rPr>
                <w:rFonts w:ascii="Arial" w:hAnsi="Arial"/>
                <w:sz w:val="19"/>
              </w:rPr>
              <w:t>Total assets measured at fair value</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59,483</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w:t>
            </w:r>
          </w:p>
        </w:tc>
        <w:tc>
          <w:tcPr>
            <w:tcW w:w="108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5" w:type="dxa"/>
            <w:tcBorders/>
            <w:vAlign w:val="bottom"/>
          </w:tcPr>
          <w:p>
            <w:pPr>
              <w:pStyle w:val="TableContents"/>
              <w:bidi w:val="0"/>
              <w:spacing w:before="0" w:after="283"/>
              <w:jc w:val="right"/>
              <w:rPr/>
            </w:pPr>
            <w:r>
              <w:rPr/>
              <w:t>59,503</w:t>
            </w:r>
          </w:p>
        </w:tc>
        <w:tc>
          <w:tcPr>
            <w:tcW w:w="66" w:type="dxa"/>
            <w:tcBorders/>
            <w:vAlign w:val="bottom"/>
          </w:tcPr>
          <w:p>
            <w:pPr>
              <w:pStyle w:val="TableContents"/>
              <w:bidi w:val="0"/>
              <w:spacing w:before="0" w:after="283"/>
              <w:jc w:val="left"/>
              <w:rPr/>
            </w:pPr>
            <w:r>
              <w:rPr/>
              <w:t> </w:t>
            </w:r>
          </w:p>
        </w:tc>
      </w:tr>
      <w:tr>
        <w:trPr/>
        <w:tc>
          <w:tcPr>
            <w:tcW w:w="2452"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As of June 30, 2026, the weighted-average remaining maturity of the Company’s marketable securities was less than one year. The Company believes that an allowance for credit losses is unnecessary. As of June 30, 2026, the Company held 17 marketable securities in an unrealized loss position. All investments with unrealized losses have been in a loss position for less than twelve months, and the unrealized losses were considered to be temporary in nature. The Company does not intend to sell the investments in an unrealized loss position, and it is not more likely than not that the Company will be required to sell the investments before recovery of their amortized cost basis. To date, the Company has not recorded any impairment charges on available-for-sale securities. Additionally, accretion income due and accrued as of June 30, 2026 and December 31, 2025 of $0.5 million and $0.1 million, respectively, are recorded as components of the marketable securities on the Company’s condensed balance sheets.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6. Balance Sheet Components </w:t>
      </w:r>
    </w:p>
    <w:p>
      <w:pPr>
        <w:pStyle w:val="TextBody"/>
        <w:bidi w:val="0"/>
        <w:spacing w:before="80" w:after="0"/>
        <w:jc w:val="left"/>
        <w:rPr>
          <w:rFonts w:ascii="Arial" w:hAnsi="Arial"/>
          <w:b/>
          <w:i/>
          <w:sz w:val="19"/>
        </w:rPr>
      </w:pPr>
      <w:r>
        <w:rPr>
          <w:rFonts w:ascii="Arial" w:hAnsi="Arial"/>
          <w:b/>
          <w:i/>
          <w:sz w:val="19"/>
        </w:rPr>
        <w:t xml:space="preserve">Prepaid Expenses and Other Current Assets </w:t>
      </w:r>
    </w:p>
    <w:p>
      <w:pPr>
        <w:pStyle w:val="TextBody"/>
        <w:bidi w:val="0"/>
        <w:spacing w:before="40" w:after="0"/>
        <w:jc w:val="left"/>
        <w:rPr>
          <w:rFonts w:ascii="Arial" w:hAnsi="Arial"/>
          <w:sz w:val="19"/>
        </w:rPr>
      </w:pPr>
      <w:r>
        <w:rPr>
          <w:rFonts w:ascii="Arial" w:hAnsi="Arial"/>
          <w:sz w:val="19"/>
        </w:rPr>
        <w:t xml:space="preserve">Prepaid expenses and other current assets consisted of the following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0"/>
        <w:gridCol w:w="430"/>
        <w:gridCol w:w="205"/>
        <w:gridCol w:w="830"/>
        <w:gridCol w:w="60"/>
        <w:gridCol w:w="430"/>
        <w:gridCol w:w="373"/>
        <w:gridCol w:w="1493"/>
        <w:gridCol w:w="64"/>
      </w:tblGrid>
      <w:tr>
        <w:trPr/>
        <w:tc>
          <w:tcPr>
            <w:tcW w:w="632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8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Prepaid manufacturing</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798</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3" w:type="dxa"/>
            <w:tcBorders/>
            <w:shd w:fill="CCEEFF" w:val="clear"/>
            <w:vAlign w:val="bottom"/>
          </w:tcPr>
          <w:p>
            <w:pPr>
              <w:pStyle w:val="TableContents"/>
              <w:bidi w:val="0"/>
              <w:spacing w:before="0" w:after="283"/>
              <w:jc w:val="right"/>
              <w:rPr/>
            </w:pPr>
            <w:r>
              <w:rPr/>
              <w:t>8,516</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Prepaid clinical</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Prepaid insurance</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53</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Prepaid deposits and other</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392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179</w:t>
            </w:r>
          </w:p>
        </w:tc>
        <w:tc>
          <w:tcPr>
            <w:tcW w:w="64"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Total prepaid expenses</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2,372</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3" w:type="dxa"/>
            <w:tcBorders/>
            <w:shd w:fill="CCEEFF" w:val="clear"/>
            <w:vAlign w:val="bottom"/>
          </w:tcPr>
          <w:p>
            <w:pPr>
              <w:pStyle w:val="TableContents"/>
              <w:bidi w:val="0"/>
              <w:spacing w:before="0" w:after="283"/>
              <w:jc w:val="right"/>
              <w:rPr/>
            </w:pPr>
            <w:r>
              <w:rPr/>
              <w:t>8,748</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Arial" w:hAnsi="Arial"/>
          <w:b/>
          <w:i/>
          <w:sz w:val="19"/>
        </w:rPr>
      </w:pPr>
      <w:r>
        <w:rPr>
          <w:rFonts w:ascii="Arial" w:hAnsi="Arial"/>
          <w:b/>
          <w:i/>
          <w:sz w:val="19"/>
        </w:rPr>
        <w:t xml:space="preserve">Accrued Liabilities </w:t>
      </w:r>
    </w:p>
    <w:p>
      <w:pPr>
        <w:pStyle w:val="TextBody"/>
        <w:bidi w:val="0"/>
        <w:spacing w:before="40" w:after="0"/>
        <w:jc w:val="left"/>
        <w:rPr>
          <w:rFonts w:ascii="Arial" w:hAnsi="Arial"/>
          <w:sz w:val="19"/>
        </w:rPr>
      </w:pPr>
      <w:r>
        <w:rPr>
          <w:rFonts w:ascii="Arial" w:hAnsi="Arial"/>
          <w:sz w:val="19"/>
        </w:rPr>
        <w:t xml:space="preserve">Accrued liabilities consisted of the following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0"/>
        <w:gridCol w:w="430"/>
        <w:gridCol w:w="205"/>
        <w:gridCol w:w="830"/>
        <w:gridCol w:w="60"/>
        <w:gridCol w:w="430"/>
        <w:gridCol w:w="373"/>
        <w:gridCol w:w="1493"/>
        <w:gridCol w:w="64"/>
      </w:tblGrid>
      <w:tr>
        <w:trPr/>
        <w:tc>
          <w:tcPr>
            <w:tcW w:w="632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86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Accrued clinical trial costs</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2,328</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3" w:type="dxa"/>
            <w:tcBorders/>
            <w:shd w:fill="CCEEFF" w:val="clear"/>
            <w:vAlign w:val="bottom"/>
          </w:tcPr>
          <w:p>
            <w:pPr>
              <w:pStyle w:val="TableContents"/>
              <w:bidi w:val="0"/>
              <w:spacing w:before="0" w:after="283"/>
              <w:jc w:val="right"/>
              <w:rPr/>
            </w:pPr>
            <w:r>
              <w:rPr/>
              <w:t>1,706</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Accrued manufacturing</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1,952</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566</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Accrued research and development</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622</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429</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Accrued bonus</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1,408</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2,014</w:t>
            </w:r>
          </w:p>
        </w:tc>
        <w:tc>
          <w:tcPr>
            <w:tcW w:w="64" w:type="dxa"/>
            <w:tcBorders/>
            <w:vAlign w:val="bottom"/>
          </w:tcPr>
          <w:p>
            <w:pPr>
              <w:pStyle w:val="TableContents"/>
              <w:bidi w:val="0"/>
              <w:spacing w:before="0" w:after="283"/>
              <w:jc w:val="left"/>
              <w:rPr/>
            </w:pPr>
            <w:r>
              <w:rPr/>
              <w:t> </w:t>
            </w:r>
          </w:p>
        </w:tc>
      </w:tr>
      <w:tr>
        <w:trPr/>
        <w:tc>
          <w:tcPr>
            <w:tcW w:w="6320" w:type="dxa"/>
            <w:tcBorders/>
            <w:shd w:fill="CCEEFF" w:val="clear"/>
          </w:tcPr>
          <w:p>
            <w:pPr>
              <w:pStyle w:val="TableContents"/>
              <w:bidi w:val="0"/>
              <w:spacing w:before="0" w:after="0"/>
              <w:jc w:val="left"/>
              <w:rPr>
                <w:rFonts w:ascii="Arial" w:hAnsi="Arial"/>
                <w:sz w:val="19"/>
              </w:rPr>
            </w:pPr>
            <w:r>
              <w:rPr>
                <w:rFonts w:ascii="Arial" w:hAnsi="Arial"/>
                <w:sz w:val="19"/>
              </w:rPr>
              <w:t>Accrued general and administrative</w:t>
            </w:r>
          </w:p>
        </w:tc>
        <w:tc>
          <w:tcPr>
            <w:tcW w:w="43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1,883</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330</w:t>
            </w:r>
          </w:p>
        </w:tc>
        <w:tc>
          <w:tcPr>
            <w:tcW w:w="64"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0" w:type="dxa"/>
            <w:tcBorders/>
          </w:tcPr>
          <w:p>
            <w:pPr>
              <w:pStyle w:val="TableContents"/>
              <w:bidi w:val="0"/>
              <w:spacing w:before="0" w:after="0"/>
              <w:jc w:val="left"/>
              <w:rPr>
                <w:rFonts w:ascii="Arial" w:hAnsi="Arial"/>
                <w:sz w:val="19"/>
              </w:rPr>
            </w:pPr>
            <w:r>
              <w:rPr>
                <w:rFonts w:ascii="Arial" w:hAnsi="Arial"/>
                <w:sz w:val="19"/>
              </w:rPr>
              <w:t>Total accrued liabilities</w:t>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8,193</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493" w:type="dxa"/>
            <w:tcBorders/>
            <w:vAlign w:val="bottom"/>
          </w:tcPr>
          <w:p>
            <w:pPr>
              <w:pStyle w:val="TableContents"/>
              <w:bidi w:val="0"/>
              <w:spacing w:before="0" w:after="283"/>
              <w:jc w:val="right"/>
              <w:rPr/>
            </w:pPr>
            <w:r>
              <w:rPr/>
              <w:t>5,045</w:t>
            </w:r>
          </w:p>
        </w:tc>
        <w:tc>
          <w:tcPr>
            <w:tcW w:w="64" w:type="dxa"/>
            <w:tcBorders/>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sz w:val="20"/>
        </w:rPr>
      </w:pPr>
      <w:r>
        <w:rPr>
          <w:rFonts w:ascii="Arial" w:hAnsi="Arial"/>
          <w:b/>
          <w:sz w:val="20"/>
        </w:rPr>
        <w:t xml:space="preserve">7. Leases </w:t>
      </w:r>
    </w:p>
    <w:p>
      <w:pPr>
        <w:pStyle w:val="TextBody"/>
        <w:bidi w:val="0"/>
        <w:spacing w:before="80" w:after="0"/>
        <w:jc w:val="left"/>
        <w:rPr>
          <w:rFonts w:ascii="Arial" w:hAnsi="Arial"/>
          <w:sz w:val="19"/>
        </w:rPr>
      </w:pPr>
      <w:r>
        <w:rPr>
          <w:rFonts w:ascii="Arial" w:hAnsi="Arial"/>
          <w:sz w:val="19"/>
        </w:rPr>
        <w:t xml:space="preserve">Effective September 10, 2025, the Company entered into a noncancelable operating lease agreement for approximately 14,055 rentable square feet of office and laboratory space located in South San Francisco, California (the “Premises”). The Lease has a three-year term expiring on September 30, 2028, and includes an initial rent abatement period. The Lease provides the Company with two consecutive options to extend the lease term for three years each, at the then-prevailing fair rental value; the Company has not included these extension options in the lease term as it is not reasonably certain to exercise either option. In addition to base rent, the Company is required to pay its proportionate share of the building’s operating and tax expenses, which are accounted for as variable lease payments and are not included in the measurement of the lease liability. The Company used an incremental borrowing rate of 6.45% to discount the lease payments, as the rate implicit in the Lease was not readily determinable. No lease expense was recorded for the six months ended June 30, 2025. </w:t>
      </w:r>
    </w:p>
    <w:p>
      <w:pPr>
        <w:pStyle w:val="TextBody"/>
        <w:bidi w:val="0"/>
        <w:spacing w:before="180" w:after="0"/>
        <w:jc w:val="left"/>
        <w:rPr>
          <w:rFonts w:ascii="Arial" w:hAnsi="Arial"/>
          <w:sz w:val="19"/>
        </w:rPr>
      </w:pPr>
      <w:r>
        <w:rPr>
          <w:rFonts w:ascii="Arial" w:hAnsi="Arial"/>
          <w:sz w:val="19"/>
        </w:rPr>
        <w:t xml:space="preserve">The components of lease expense were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4"/>
        <w:gridCol w:w="1055"/>
        <w:gridCol w:w="667"/>
        <w:gridCol w:w="1817"/>
        <w:gridCol w:w="62"/>
      </w:tblGrid>
      <w:tr>
        <w:trPr/>
        <w:tc>
          <w:tcPr>
            <w:tcW w:w="6604" w:type="dxa"/>
            <w:tcBorders/>
            <w:vAlign w:val="center"/>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604"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left"/>
              <w:rPr/>
            </w:pPr>
            <w:r>
              <w:rPr/>
              <w:t>  </w:t>
            </w:r>
          </w:p>
        </w:tc>
        <w:tc>
          <w:tcPr>
            <w:tcW w:w="248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2" w:type="dxa"/>
            <w:tcBorders/>
            <w:vAlign w:val="bottom"/>
          </w:tcPr>
          <w:p>
            <w:pPr>
              <w:pStyle w:val="TableContents"/>
              <w:bidi w:val="0"/>
              <w:spacing w:before="0" w:after="283"/>
              <w:jc w:val="left"/>
              <w:rPr/>
            </w:pPr>
            <w:r>
              <w:rPr/>
              <w:t> </w:t>
            </w:r>
          </w:p>
        </w:tc>
      </w:tr>
      <w:tr>
        <w:trPr/>
        <w:tc>
          <w:tcPr>
            <w:tcW w:w="6604" w:type="dxa"/>
            <w:tcBorders/>
            <w:shd w:fill="CCEEFF" w:val="clear"/>
          </w:tcPr>
          <w:p>
            <w:pPr>
              <w:pStyle w:val="TableContents"/>
              <w:bidi w:val="0"/>
              <w:spacing w:before="0" w:after="0"/>
              <w:jc w:val="left"/>
              <w:rPr>
                <w:rFonts w:ascii="Arial" w:hAnsi="Arial"/>
                <w:sz w:val="19"/>
              </w:rPr>
            </w:pPr>
            <w:r>
              <w:rPr>
                <w:rFonts w:ascii="Arial" w:hAnsi="Arial"/>
                <w:sz w:val="19"/>
              </w:rPr>
              <w:t>Operating lease cost (straight-line)</w:t>
            </w:r>
          </w:p>
        </w:tc>
        <w:tc>
          <w:tcPr>
            <w:tcW w:w="105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w:t>
            </w:r>
          </w:p>
        </w:tc>
        <w:tc>
          <w:tcPr>
            <w:tcW w:w="1817" w:type="dxa"/>
            <w:tcBorders/>
            <w:shd w:fill="CCEEFF" w:val="clear"/>
            <w:vAlign w:val="bottom"/>
          </w:tcPr>
          <w:p>
            <w:pPr>
              <w:pStyle w:val="TableContents"/>
              <w:bidi w:val="0"/>
              <w:spacing w:before="0" w:after="283"/>
              <w:jc w:val="right"/>
              <w:rPr/>
            </w:pPr>
            <w:r>
              <w:rPr/>
              <w:t>422</w:t>
            </w:r>
          </w:p>
        </w:tc>
        <w:tc>
          <w:tcPr>
            <w:tcW w:w="62" w:type="dxa"/>
            <w:tcBorders/>
            <w:shd w:fill="CCEEFF" w:val="clear"/>
            <w:vAlign w:val="bottom"/>
          </w:tcPr>
          <w:p>
            <w:pPr>
              <w:pStyle w:val="TableContents"/>
              <w:bidi w:val="0"/>
              <w:spacing w:before="0" w:after="283"/>
              <w:jc w:val="left"/>
              <w:rPr/>
            </w:pPr>
            <w:r>
              <w:rPr/>
              <w:t> </w:t>
            </w:r>
          </w:p>
        </w:tc>
      </w:tr>
      <w:tr>
        <w:trPr/>
        <w:tc>
          <w:tcPr>
            <w:tcW w:w="6604" w:type="dxa"/>
            <w:tcBorders/>
          </w:tcPr>
          <w:p>
            <w:pPr>
              <w:pStyle w:val="TableContents"/>
              <w:bidi w:val="0"/>
              <w:spacing w:before="0" w:after="0"/>
              <w:jc w:val="left"/>
              <w:rPr>
                <w:rFonts w:ascii="Arial" w:hAnsi="Arial"/>
                <w:sz w:val="19"/>
              </w:rPr>
            </w:pPr>
            <w:r>
              <w:rPr>
                <w:rFonts w:ascii="Arial" w:hAnsi="Arial"/>
                <w:sz w:val="19"/>
              </w:rPr>
              <w:t>Variable lease cost (direct expenses)</w:t>
            </w:r>
          </w:p>
        </w:tc>
        <w:tc>
          <w:tcPr>
            <w:tcW w:w="105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817"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6604"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81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604" w:type="dxa"/>
            <w:tcBorders/>
            <w:shd w:fill="CCEEFF" w:val="clear"/>
          </w:tcPr>
          <w:p>
            <w:pPr>
              <w:pStyle w:val="TableContents"/>
              <w:bidi w:val="0"/>
              <w:spacing w:before="0" w:after="0"/>
              <w:jc w:val="left"/>
              <w:rPr>
                <w:rFonts w:ascii="Arial" w:hAnsi="Arial"/>
                <w:sz w:val="19"/>
              </w:rPr>
            </w:pPr>
            <w:r>
              <w:rPr>
                <w:rFonts w:ascii="Arial" w:hAnsi="Arial"/>
                <w:sz w:val="19"/>
              </w:rPr>
              <w:t>Total lease cost</w:t>
            </w:r>
          </w:p>
        </w:tc>
        <w:tc>
          <w:tcPr>
            <w:tcW w:w="105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w:t>
            </w:r>
          </w:p>
        </w:tc>
        <w:tc>
          <w:tcPr>
            <w:tcW w:w="1817" w:type="dxa"/>
            <w:tcBorders/>
            <w:shd w:fill="CCEEFF" w:val="clear"/>
            <w:vAlign w:val="bottom"/>
          </w:tcPr>
          <w:p>
            <w:pPr>
              <w:pStyle w:val="TableContents"/>
              <w:bidi w:val="0"/>
              <w:spacing w:before="0" w:after="283"/>
              <w:jc w:val="right"/>
              <w:rPr/>
            </w:pPr>
            <w:r>
              <w:rPr/>
              <w:t>645</w:t>
            </w:r>
          </w:p>
        </w:tc>
        <w:tc>
          <w:tcPr>
            <w:tcW w:w="62" w:type="dxa"/>
            <w:tcBorders/>
            <w:shd w:fill="CCEEFF" w:val="clear"/>
            <w:vAlign w:val="bottom"/>
          </w:tcPr>
          <w:p>
            <w:pPr>
              <w:pStyle w:val="TableContents"/>
              <w:bidi w:val="0"/>
              <w:spacing w:before="0" w:after="283"/>
              <w:jc w:val="left"/>
              <w:rPr/>
            </w:pPr>
            <w:r>
              <w:rPr/>
              <w:t> </w:t>
            </w:r>
          </w:p>
        </w:tc>
      </w:tr>
      <w:tr>
        <w:trPr/>
        <w:tc>
          <w:tcPr>
            <w:tcW w:w="6604"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181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Operating lease cost is recognized on a straight-line basis over the lease term. Cash paid for amounts included in the measurement of lease liabilities for the six months ended June 30, 2026 and 2025 were $0.2 million and zero, respectively, and were included in net cash used in operating activities in the Company’s statements of cash flows.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Maturities of operating lease liabilities as of June 30, 2026 were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56"/>
        <w:gridCol w:w="250"/>
        <w:gridCol w:w="228"/>
        <w:gridCol w:w="913"/>
        <w:gridCol w:w="158"/>
      </w:tblGrid>
      <w:tr>
        <w:trPr/>
        <w:tc>
          <w:tcPr>
            <w:tcW w:w="8656"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5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AMOUNT</w:t>
            </w:r>
          </w:p>
        </w:tc>
        <w:tc>
          <w:tcPr>
            <w:tcW w:w="158" w:type="dxa"/>
            <w:tcBorders/>
            <w:vAlign w:val="bottom"/>
          </w:tcPr>
          <w:p>
            <w:pPr>
              <w:pStyle w:val="TableContents"/>
              <w:bidi w:val="0"/>
              <w:spacing w:before="0" w:after="283"/>
              <w:jc w:val="left"/>
              <w:rPr/>
            </w:pPr>
            <w:r>
              <w:rPr/>
              <w:t> </w:t>
            </w:r>
          </w:p>
        </w:tc>
      </w:tr>
      <w:tr>
        <w:trPr/>
        <w:tc>
          <w:tcPr>
            <w:tcW w:w="8656" w:type="dxa"/>
            <w:tcBorders/>
            <w:shd w:fill="CCEEFF" w:val="clear"/>
          </w:tcPr>
          <w:p>
            <w:pPr>
              <w:pStyle w:val="TableContents"/>
              <w:bidi w:val="0"/>
              <w:spacing w:before="0" w:after="0"/>
              <w:jc w:val="left"/>
              <w:rPr>
                <w:rFonts w:ascii="Arial" w:hAnsi="Arial"/>
                <w:sz w:val="19"/>
              </w:rPr>
            </w:pPr>
            <w:r>
              <w:rPr>
                <w:rFonts w:ascii="Arial" w:hAnsi="Arial"/>
                <w:sz w:val="19"/>
              </w:rPr>
              <w:t>2026 (remaining)</w:t>
            </w:r>
          </w:p>
        </w:tc>
        <w:tc>
          <w:tcPr>
            <w:tcW w:w="2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459</w:t>
            </w:r>
          </w:p>
        </w:tc>
        <w:tc>
          <w:tcPr>
            <w:tcW w:w="158" w:type="dxa"/>
            <w:tcBorders/>
            <w:shd w:fill="CCEEFF" w:val="clear"/>
            <w:vAlign w:val="bottom"/>
          </w:tcPr>
          <w:p>
            <w:pPr>
              <w:pStyle w:val="TableContents"/>
              <w:bidi w:val="0"/>
              <w:spacing w:before="0" w:after="283"/>
              <w:jc w:val="left"/>
              <w:rPr/>
            </w:pPr>
            <w:r>
              <w:rPr/>
              <w:t> </w:t>
            </w:r>
          </w:p>
        </w:tc>
      </w:tr>
      <w:tr>
        <w:trPr/>
        <w:tc>
          <w:tcPr>
            <w:tcW w:w="8656" w:type="dxa"/>
            <w:tcBorders/>
          </w:tcPr>
          <w:p>
            <w:pPr>
              <w:pStyle w:val="TableContents"/>
              <w:bidi w:val="0"/>
              <w:spacing w:before="0" w:after="0"/>
              <w:jc w:val="left"/>
              <w:rPr>
                <w:rFonts w:ascii="Arial" w:hAnsi="Arial"/>
                <w:sz w:val="19"/>
              </w:rPr>
            </w:pPr>
            <w:r>
              <w:rPr>
                <w:rFonts w:ascii="Arial" w:hAnsi="Arial"/>
                <w:sz w:val="19"/>
              </w:rPr>
              <w:t>2027</w:t>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942</w:t>
            </w:r>
          </w:p>
        </w:tc>
        <w:tc>
          <w:tcPr>
            <w:tcW w:w="158" w:type="dxa"/>
            <w:tcBorders/>
            <w:vAlign w:val="bottom"/>
          </w:tcPr>
          <w:p>
            <w:pPr>
              <w:pStyle w:val="TableContents"/>
              <w:bidi w:val="0"/>
              <w:spacing w:before="0" w:after="283"/>
              <w:jc w:val="left"/>
              <w:rPr/>
            </w:pPr>
            <w:r>
              <w:rPr/>
              <w:t> </w:t>
            </w:r>
          </w:p>
        </w:tc>
      </w:tr>
      <w:tr>
        <w:trPr/>
        <w:tc>
          <w:tcPr>
            <w:tcW w:w="8656" w:type="dxa"/>
            <w:tcBorders/>
            <w:shd w:fill="CCEEFF" w:val="clear"/>
          </w:tcPr>
          <w:p>
            <w:pPr>
              <w:pStyle w:val="TableContents"/>
              <w:bidi w:val="0"/>
              <w:spacing w:before="0" w:after="0"/>
              <w:jc w:val="left"/>
              <w:rPr>
                <w:rFonts w:ascii="Arial" w:hAnsi="Arial"/>
                <w:sz w:val="19"/>
              </w:rPr>
            </w:pPr>
            <w:r>
              <w:rPr>
                <w:rFonts w:ascii="Arial" w:hAnsi="Arial"/>
                <w:sz w:val="19"/>
              </w:rPr>
              <w:t>2028</w:t>
            </w:r>
          </w:p>
        </w:tc>
        <w:tc>
          <w:tcPr>
            <w:tcW w:w="2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725</w:t>
            </w:r>
          </w:p>
        </w:tc>
        <w:tc>
          <w:tcPr>
            <w:tcW w:w="158" w:type="dxa"/>
            <w:tcBorders/>
            <w:shd w:fill="CCEEFF" w:val="clear"/>
            <w:vAlign w:val="bottom"/>
          </w:tcPr>
          <w:p>
            <w:pPr>
              <w:pStyle w:val="TableContents"/>
              <w:bidi w:val="0"/>
              <w:spacing w:before="0" w:after="283"/>
              <w:jc w:val="left"/>
              <w:rPr/>
            </w:pPr>
            <w:r>
              <w:rPr/>
              <w:t> </w:t>
            </w:r>
          </w:p>
        </w:tc>
      </w:tr>
      <w:tr>
        <w:trPr/>
        <w:tc>
          <w:tcPr>
            <w:tcW w:w="865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56" w:type="dxa"/>
            <w:tcBorders/>
          </w:tcPr>
          <w:p>
            <w:pPr>
              <w:pStyle w:val="TableContents"/>
              <w:bidi w:val="0"/>
              <w:spacing w:before="0" w:after="0"/>
              <w:jc w:val="left"/>
              <w:rPr>
                <w:rFonts w:ascii="Arial" w:hAnsi="Arial"/>
                <w:sz w:val="19"/>
              </w:rPr>
            </w:pPr>
            <w:r>
              <w:rPr>
                <w:rFonts w:ascii="Arial" w:hAnsi="Arial"/>
                <w:sz w:val="19"/>
              </w:rPr>
              <w:t>Total operating lease payments</w:t>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2,126</w:t>
            </w:r>
          </w:p>
        </w:tc>
        <w:tc>
          <w:tcPr>
            <w:tcW w:w="158" w:type="dxa"/>
            <w:tcBorders/>
            <w:vAlign w:val="bottom"/>
          </w:tcPr>
          <w:p>
            <w:pPr>
              <w:pStyle w:val="TableContents"/>
              <w:bidi w:val="0"/>
              <w:spacing w:before="0" w:after="283"/>
              <w:jc w:val="left"/>
              <w:rPr/>
            </w:pPr>
            <w:r>
              <w:rPr/>
              <w:t> </w:t>
            </w:r>
          </w:p>
        </w:tc>
      </w:tr>
      <w:tr>
        <w:trPr/>
        <w:tc>
          <w:tcPr>
            <w:tcW w:w="8656" w:type="dxa"/>
            <w:tcBorders/>
            <w:shd w:fill="CCEEFF" w:val="clear"/>
          </w:tcPr>
          <w:p>
            <w:pPr>
              <w:pStyle w:val="TableContents"/>
              <w:bidi w:val="0"/>
              <w:spacing w:before="0" w:after="0"/>
              <w:jc w:val="left"/>
              <w:rPr>
                <w:rFonts w:ascii="Arial" w:hAnsi="Arial"/>
                <w:sz w:val="19"/>
              </w:rPr>
            </w:pPr>
            <w:r>
              <w:rPr>
                <w:rFonts w:ascii="Arial" w:hAnsi="Arial"/>
                <w:sz w:val="19"/>
              </w:rPr>
              <w:t>Less: imputed interest</w:t>
            </w:r>
          </w:p>
        </w:tc>
        <w:tc>
          <w:tcPr>
            <w:tcW w:w="25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(143</w:t>
            </w:r>
          </w:p>
        </w:tc>
        <w:tc>
          <w:tcPr>
            <w:tcW w:w="158" w:type="dxa"/>
            <w:tcBorders/>
            <w:shd w:fill="CCEEFF" w:val="clear"/>
            <w:vAlign w:val="bottom"/>
          </w:tcPr>
          <w:p>
            <w:pPr>
              <w:pStyle w:val="TableContents"/>
              <w:bidi w:val="0"/>
              <w:spacing w:before="0" w:after="283"/>
              <w:jc w:val="left"/>
              <w:rPr/>
            </w:pPr>
            <w:r>
              <w:rPr/>
              <w:t>) </w:t>
            </w:r>
          </w:p>
        </w:tc>
      </w:tr>
      <w:tr>
        <w:trPr/>
        <w:tc>
          <w:tcPr>
            <w:tcW w:w="865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656" w:type="dxa"/>
            <w:tcBorders/>
          </w:tcPr>
          <w:p>
            <w:pPr>
              <w:pStyle w:val="TableContents"/>
              <w:bidi w:val="0"/>
              <w:spacing w:before="0" w:after="0"/>
              <w:jc w:val="left"/>
              <w:rPr>
                <w:rFonts w:ascii="Arial" w:hAnsi="Arial"/>
                <w:sz w:val="19"/>
              </w:rPr>
            </w:pPr>
            <w:r>
              <w:rPr>
                <w:rFonts w:ascii="Arial" w:hAnsi="Arial"/>
                <w:sz w:val="19"/>
              </w:rPr>
              <w:t>Total operating lease liabilities</w:t>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1,983</w:t>
            </w:r>
          </w:p>
        </w:tc>
        <w:tc>
          <w:tcPr>
            <w:tcW w:w="158" w:type="dxa"/>
            <w:tcBorders/>
            <w:vAlign w:val="bottom"/>
          </w:tcPr>
          <w:p>
            <w:pPr>
              <w:pStyle w:val="TableContents"/>
              <w:bidi w:val="0"/>
              <w:spacing w:before="0" w:after="283"/>
              <w:jc w:val="left"/>
              <w:rPr/>
            </w:pPr>
            <w:r>
              <w:rPr/>
              <w:t> </w:t>
            </w:r>
          </w:p>
        </w:tc>
      </w:tr>
      <w:tr>
        <w:trPr/>
        <w:tc>
          <w:tcPr>
            <w:tcW w:w="8656"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sz w:val="20"/>
        </w:rPr>
      </w:pPr>
      <w:r>
        <w:rPr>
          <w:rFonts w:ascii="Arial" w:hAnsi="Arial"/>
          <w:b/>
          <w:sz w:val="20"/>
        </w:rPr>
        <w:t xml:space="preserve">8. Convertible Notes – Related Party </w:t>
      </w:r>
    </w:p>
    <w:p>
      <w:pPr>
        <w:pStyle w:val="TextBody"/>
        <w:bidi w:val="0"/>
        <w:spacing w:before="80" w:after="0"/>
        <w:jc w:val="left"/>
        <w:rPr>
          <w:rFonts w:ascii="Arial" w:hAnsi="Arial"/>
          <w:sz w:val="19"/>
        </w:rPr>
      </w:pPr>
      <w:r>
        <w:rPr>
          <w:rFonts w:ascii="Arial" w:hAnsi="Arial"/>
          <w:sz w:val="19"/>
        </w:rPr>
        <w:t xml:space="preserve">On March 7, 2025, the Company issued Initial Notes to multiple investors. The Initial Notes bore interest at an annual rate of 8% per annum on the outstanding principal balance. Interest commenced on the closing date of March 7, 2025 and was computed on the basis of a year of 365 days for the actual number of days elapsed. The outstanding principal amount and all accrued and unpaid interest was due and payable upon demand by the Holders on or after June 30, 2026 (the “Maturity Date”). Each Holder committed to purchase additional notes in one or more future closings with the combined aggregate commitment of all Holders not to exceed $20.0 million. </w:t>
      </w:r>
    </w:p>
    <w:p>
      <w:pPr>
        <w:pStyle w:val="TextBody"/>
        <w:bidi w:val="0"/>
        <w:spacing w:before="180" w:after="0"/>
        <w:jc w:val="left"/>
        <w:rPr>
          <w:rFonts w:ascii="Arial" w:hAnsi="Arial"/>
          <w:sz w:val="19"/>
        </w:rPr>
      </w:pPr>
      <w:r>
        <w:rPr>
          <w:rFonts w:ascii="Arial" w:hAnsi="Arial"/>
          <w:sz w:val="19"/>
        </w:rPr>
        <w:t xml:space="preserve">On June 30, 2025, the Company issued the Subsequent Notes in the aggregate principal amount of $20.0 million pursuant to the commitment. The Subsequent Notes had terms identical to the Initial Notes, except for their respective principal amounts. The aggregate principal amount of the Notes outstanding was $40.0 million. The Notes were issued to existing investors of the Company’s redeemable convertible preferred stock, therefore, the issuances are considered related party transactions. </w:t>
      </w:r>
    </w:p>
    <w:p>
      <w:pPr>
        <w:pStyle w:val="TextBody"/>
        <w:bidi w:val="0"/>
        <w:spacing w:before="180" w:after="0"/>
        <w:jc w:val="left"/>
        <w:rPr>
          <w:rFonts w:ascii="Arial" w:hAnsi="Arial"/>
          <w:sz w:val="19"/>
        </w:rPr>
      </w:pPr>
      <w:r>
        <w:rPr>
          <w:rFonts w:ascii="Arial" w:hAnsi="Arial"/>
          <w:sz w:val="19"/>
        </w:rPr>
        <w:t xml:space="preserve">The Notes contained the following settlement provisions: (1) Upon the occurrence of a qualified preferred stock equity financing (a “Qualified Financing”) on or before the Maturity Date, the amount due automatically converts into fully paid and nonassessable shares of the preferred stock issued in such Qualified Financing at a price per share equal to the cash price per share paid by the other purchasers in the Qualified Financing; (2) if the Company completed a preferred stock equity financing that raised less than the Qualified Financing threshold of proceeds totaling $40.0 million, excluding note conversions, the Holders holding a majority of the principal outstanding under the Notes could elect to treat such financing as a Qualified Financing, with the amount due converting into preferred stock on the same terms, or hold the Notes until maturity; (3) upon the occurrence of a change of control, Holders were entitled to receive a cash payment equal to the amount due plus an applicable premium (the applicable premium was 20% if the change of control occurred prior to March 7, 2026, 50% if on or after March 7, 2026, and 100% premium if on or after the Maturity Date); and (4) upon an event of default, the amount due would become immediately due and payable in cash. </w:t>
      </w:r>
    </w:p>
    <w:p>
      <w:pPr>
        <w:pStyle w:val="TextBody"/>
        <w:bidi w:val="0"/>
        <w:spacing w:before="180" w:after="0"/>
        <w:jc w:val="left"/>
        <w:rPr>
          <w:rFonts w:ascii="Arial" w:hAnsi="Arial"/>
          <w:sz w:val="19"/>
        </w:rPr>
      </w:pPr>
      <w:r>
        <w:rPr>
          <w:rFonts w:ascii="Arial" w:hAnsi="Arial"/>
          <w:sz w:val="19"/>
        </w:rPr>
        <w:t xml:space="preserve">The Company elected the fair value option under ASC 825-10 to account for the Notes at the time of their initial recognition. The convertible notes are remeasured at fair value at the end of each reporting period, until fully repaid or converted, using the discounted cash flow method and include unobservable inputs derived from management’s estimates and assumptions. Management’s estimates and assumptions are based in part on external data and internal data and involve a significant degree of judgement. The primary unobservable inputs, classified as Level 3 under the fair value hierarchy, are the probability and timing of Qualified Financing and change of control events. The discount rate utilized in the fair value model was approximately 21%. </w:t>
      </w:r>
    </w:p>
    <w:p>
      <w:pPr>
        <w:pStyle w:val="TextBody"/>
        <w:bidi w:val="0"/>
        <w:spacing w:before="180" w:after="0"/>
        <w:jc w:val="left"/>
        <w:rPr>
          <w:rFonts w:ascii="Arial" w:hAnsi="Arial"/>
          <w:sz w:val="19"/>
        </w:rPr>
      </w:pPr>
      <w:r>
        <w:rPr>
          <w:rFonts w:ascii="Arial" w:hAnsi="Arial"/>
          <w:sz w:val="19"/>
        </w:rPr>
        <w:t xml:space="preserve">Transaction costs incurred in connection with the issuance of the Notes were expensed as incurred. Interest expense from the Notes is presented in the statement of operations and comprehensive loss. For the year ended December 31, 2025, the Company recognized $1.4 million of expense in the statement of operations and comprehensive loss for the difference between the proceeds received and the fair value of the Notes, which was due to accrued interest on the Notes as of the conversion date. On issuance, total issuance costs of $0.1 million were expensed and recognized as general and administrative expense in the statement of operations and comprehensive loss.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On October 15, 2025, the Company completed a Qualified Financing through the issuance of Series C Preferred Stock (see Note 10 – Stockholders’ Deficit). Upon the closing of the Qualified Financing, the outstanding principal amount of the Notes and all accrued and unpaid interest thereon, totaling $41.4 million, were automatically converted into 6,121,225 shares of Series C Preferred Stock at a conversion price of $6.7688 per share. </w:t>
      </w:r>
    </w:p>
    <w:p>
      <w:pPr>
        <w:pStyle w:val="TextBody"/>
        <w:bidi w:val="0"/>
        <w:spacing w:before="180" w:after="0"/>
        <w:jc w:val="left"/>
        <w:rPr>
          <w:rFonts w:ascii="Arial" w:hAnsi="Arial"/>
          <w:sz w:val="19"/>
        </w:rPr>
      </w:pPr>
      <w:r>
        <w:rPr>
          <w:rFonts w:ascii="Arial" w:hAnsi="Arial"/>
          <w:sz w:val="19"/>
        </w:rPr>
        <w:t xml:space="preserve">As of June 30, 2026 and December 31, 2025, no convertible promissory notes remained outstanding. There was no gain or loss on extinguishment in the statement of operations for the periods ended June 30, 2026 or December 31, 2025. For the six months ended June 30, 2025, the Company recognized $0.3 million of interest expense in the statement of operations for the difference between the proceeds received and the fair value of the Notes. No interest expense was recorded for the six months ended June 30, 2026. </w:t>
      </w:r>
    </w:p>
    <w:p>
      <w:pPr>
        <w:pStyle w:val="TextBody"/>
        <w:bidi w:val="0"/>
        <w:spacing w:before="240" w:after="0"/>
        <w:jc w:val="left"/>
        <w:rPr>
          <w:rFonts w:ascii="Arial" w:hAnsi="Arial"/>
          <w:b/>
          <w:sz w:val="20"/>
        </w:rPr>
      </w:pPr>
      <w:r>
        <w:rPr>
          <w:rFonts w:ascii="Arial" w:hAnsi="Arial"/>
          <w:b/>
          <w:sz w:val="20"/>
        </w:rPr>
        <w:t xml:space="preserve">9. Commitments and Contingencies </w:t>
      </w:r>
    </w:p>
    <w:p>
      <w:pPr>
        <w:pStyle w:val="TextBody"/>
        <w:bidi w:val="0"/>
        <w:spacing w:before="80" w:after="0"/>
        <w:jc w:val="left"/>
        <w:rPr>
          <w:rFonts w:ascii="Arial" w:hAnsi="Arial"/>
          <w:b/>
          <w:i/>
          <w:sz w:val="19"/>
        </w:rPr>
      </w:pPr>
      <w:r>
        <w:rPr>
          <w:rFonts w:ascii="Arial" w:hAnsi="Arial"/>
          <w:b/>
          <w:i/>
          <w:sz w:val="19"/>
        </w:rPr>
        <w:t xml:space="preserve">Commitments </w:t>
      </w:r>
    </w:p>
    <w:p>
      <w:pPr>
        <w:pStyle w:val="TextBody"/>
        <w:bidi w:val="0"/>
        <w:spacing w:before="40" w:after="0"/>
        <w:jc w:val="left"/>
        <w:rPr>
          <w:rFonts w:ascii="Arial" w:hAnsi="Arial"/>
          <w:sz w:val="19"/>
        </w:rPr>
      </w:pPr>
      <w:r>
        <w:rPr>
          <w:rFonts w:ascii="Arial" w:hAnsi="Arial"/>
          <w:sz w:val="19"/>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80" w:after="0"/>
        <w:jc w:val="left"/>
        <w:rPr>
          <w:rFonts w:ascii="Arial" w:hAnsi="Arial"/>
          <w:sz w:val="19"/>
        </w:rPr>
      </w:pPr>
      <w:r>
        <w:rPr>
          <w:rFonts w:ascii="Arial" w:hAnsi="Arial"/>
          <w:sz w:val="19"/>
        </w:rPr>
        <w:t xml:space="preserve">In September 2025, the Company entered into a noncancelable operating lease agreement for approximately 14,055 rentable square feet of office and laboratory space in South San Francisco, California (see Note 7 – Leases). The lease provides for escalating annualized base rent payments starting at $0.9 million and increasing to $1.0 million in the final year of the lease. Remaining lease payments from July 1, 2026 through the end of the lease term total $2.1 million. </w:t>
      </w:r>
    </w:p>
    <w:p>
      <w:pPr>
        <w:pStyle w:val="TextBody"/>
        <w:bidi w:val="0"/>
        <w:spacing w:before="180" w:after="0"/>
        <w:jc w:val="left"/>
        <w:rPr>
          <w:rFonts w:ascii="Arial" w:hAnsi="Arial"/>
          <w:sz w:val="19"/>
        </w:rPr>
      </w:pPr>
      <w:r>
        <w:rPr>
          <w:rFonts w:ascii="Arial" w:hAnsi="Arial"/>
          <w:sz w:val="19"/>
        </w:rPr>
        <w:t xml:space="preserve">The Company is also party to a mouse platform agreement with an unrelated third party. Under the agreement, the Company was granted non-exclusive licenses to use transgenic mice to generate antibodies and to exploit products containing the resulting antibodies (“Antibody Products”). Under the agreement, the Company paid a one-time initial technology access fee and is obligated to pay annual low five-digit maintenance fees per distinct antigen with which the Company immunized the mice, continuing until the first commercial sale of an Antibody Product. In addition, the agreement requires the Company to make certain development and commercial milestone payments upon the achievement of specified events by each Antibody Product, as well as pay royalties on net sales of Antibody Products. Aggregate milestone payments are up to the low double-digit millions of dollars per distinct Antibody Product. Royalties under the agreement are a low single digit percentage of net sales of all Antibody Products and are payable on a product-by-product and country-by-country basis beginning with the first commercial sale of the applicable Antibody Product in the applicable country and continuing for 10 years thereafter. The agreement remains in effect until the expiration of the last-to-expire royalty term, unless earlier terminated by the Company at will or by either party for the other party’s uncured material breach of a material provision of the agreement. </w:t>
      </w:r>
    </w:p>
    <w:p>
      <w:pPr>
        <w:pStyle w:val="TextBody"/>
        <w:bidi w:val="0"/>
        <w:spacing w:before="80" w:after="0"/>
        <w:jc w:val="left"/>
        <w:rPr>
          <w:rFonts w:ascii="Arial" w:hAnsi="Arial"/>
          <w:b/>
          <w:i/>
          <w:sz w:val="19"/>
        </w:rPr>
      </w:pPr>
      <w:r>
        <w:rPr>
          <w:rFonts w:ascii="Arial" w:hAnsi="Arial"/>
          <w:b/>
          <w:i/>
          <w:sz w:val="19"/>
        </w:rPr>
        <w:t xml:space="preserve">Contingencies </w:t>
      </w:r>
    </w:p>
    <w:p>
      <w:pPr>
        <w:pStyle w:val="TextBody"/>
        <w:bidi w:val="0"/>
        <w:spacing w:before="40" w:after="0"/>
        <w:jc w:val="left"/>
        <w:rPr>
          <w:rFonts w:ascii="Arial" w:hAnsi="Arial"/>
          <w:sz w:val="19"/>
        </w:rPr>
      </w:pPr>
      <w:r>
        <w:rPr>
          <w:rFonts w:ascii="Arial" w:hAnsi="Arial"/>
          <w:sz w:val="19"/>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180" w:after="0"/>
        <w:jc w:val="left"/>
        <w:rPr>
          <w:rFonts w:ascii="Arial" w:hAnsi="Arial"/>
          <w:sz w:val="19"/>
        </w:rPr>
      </w:pPr>
      <w:r>
        <w:rPr>
          <w:rFonts w:ascii="Arial" w:hAnsi="Arial"/>
          <w:sz w:val="19"/>
        </w:rPr>
        <w:t xml:space="preserve">In the normal course of operations, the Company may become involved in various legal proceedings. As of June 30, 2026 and December 31, 2025, the Company had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financial position, results of operations, or statements of cash flows. </w:t>
      </w:r>
    </w:p>
    <w:p>
      <w:pPr>
        <w:pStyle w:val="TextBody"/>
        <w:bidi w:val="0"/>
        <w:spacing w:before="80" w:after="0"/>
        <w:jc w:val="left"/>
        <w:rPr>
          <w:rFonts w:ascii="Arial" w:hAnsi="Arial"/>
          <w:b/>
          <w:i/>
          <w:sz w:val="19"/>
        </w:rPr>
      </w:pPr>
      <w:r>
        <w:rPr>
          <w:rFonts w:ascii="Arial" w:hAnsi="Arial"/>
          <w:b/>
          <w:i/>
          <w:sz w:val="19"/>
        </w:rPr>
        <w:t xml:space="preserve">Indemnification </w:t>
      </w:r>
    </w:p>
    <w:p>
      <w:pPr>
        <w:pStyle w:val="TextBody"/>
        <w:bidi w:val="0"/>
        <w:spacing w:before="40" w:after="0"/>
        <w:jc w:val="left"/>
        <w:rPr>
          <w:rFonts w:ascii="Arial" w:hAnsi="Arial"/>
          <w:sz w:val="19"/>
        </w:rPr>
      </w:pPr>
      <w:r>
        <w:rPr>
          <w:rFonts w:ascii="Arial" w:hAnsi="Arial"/>
          <w:sz w:val="19"/>
        </w:rPr>
        <w:t xml:space="preserve">In the normal course of business, the Company enters into contracts and agreements that contain a variety of representations and warranties and may provide for indemnification of the counterparty. The Company’s exposure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under these agreements is unknown because it involves claims that may be made against it in the future but have not yet been made. </w:t>
      </w:r>
    </w:p>
    <w:p>
      <w:pPr>
        <w:pStyle w:val="TextBody"/>
        <w:bidi w:val="0"/>
        <w:spacing w:before="180" w:after="0"/>
        <w:jc w:val="left"/>
        <w:rPr>
          <w:rFonts w:ascii="Arial" w:hAnsi="Arial"/>
          <w:sz w:val="19"/>
        </w:rPr>
      </w:pPr>
      <w:r>
        <w:rPr>
          <w:rFonts w:ascii="Arial" w:hAnsi="Arial"/>
          <w:sz w:val="19"/>
        </w:rPr>
        <w:t xml:space="preserve">In accordance with the Company’s Amended and Restated Certificate of Incorporation (the “Certificate of Incorporation”) and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 </w:t>
      </w:r>
    </w:p>
    <w:p>
      <w:pPr>
        <w:pStyle w:val="TextBody"/>
        <w:bidi w:val="0"/>
        <w:spacing w:before="180" w:after="0"/>
        <w:jc w:val="left"/>
        <w:rPr>
          <w:rFonts w:ascii="Arial" w:hAnsi="Arial"/>
          <w:sz w:val="19"/>
        </w:rPr>
      </w:pPr>
      <w:r>
        <w:rPr>
          <w:rFonts w:ascii="Arial" w:hAnsi="Arial"/>
          <w:sz w:val="19"/>
        </w:rPr>
        <w:t xml:space="preserve">The Company’s exposure under these agreements is unknown because it involves claims that may be made against it in the future but have not yet been made. The Company believes that the fair value of these indemnification obligations is minimal; accordingly, it has not recognized any liabilities relating to these obligations for any period presented. </w:t>
      </w:r>
    </w:p>
    <w:p>
      <w:pPr>
        <w:pStyle w:val="TextBody"/>
        <w:bidi w:val="0"/>
        <w:spacing w:before="240" w:after="0"/>
        <w:jc w:val="left"/>
        <w:rPr>
          <w:rFonts w:ascii="Arial" w:hAnsi="Arial"/>
          <w:b/>
          <w:sz w:val="20"/>
        </w:rPr>
      </w:pPr>
      <w:r>
        <w:rPr>
          <w:rFonts w:ascii="Arial" w:hAnsi="Arial"/>
          <w:b/>
          <w:sz w:val="20"/>
        </w:rPr>
        <w:t xml:space="preserve">10. Redeemable Convertible Preferred Stock </w:t>
      </w:r>
    </w:p>
    <w:p>
      <w:pPr>
        <w:pStyle w:val="TextBody"/>
        <w:bidi w:val="0"/>
        <w:spacing w:before="80" w:after="0"/>
        <w:jc w:val="left"/>
        <w:rPr>
          <w:rFonts w:ascii="Arial" w:hAnsi="Arial"/>
          <w:sz w:val="19"/>
        </w:rPr>
      </w:pPr>
      <w:r>
        <w:rPr>
          <w:rFonts w:ascii="Arial" w:hAnsi="Arial"/>
          <w:sz w:val="19"/>
        </w:rPr>
        <w:t xml:space="preserve">Although the Company’s redeemable convertible preferred stock is not mandatorily or currently redeemable, a liquidation or winding up of the Company could constitute an event outside its control. Therefore, all shares of redeemable convertible preferred stock have been presented outside of permanent equity due to being contingently redeemable. The redeemable convertible preferred stock is redeemable for cash or other assets upon the occurrence of a deemed liquidation event (including a change of control), which constitutes an event not solely within the Company’s control. Accordingly, the redeemable convertible preferred stock is classified outside of permanent equity and is presented as temporary equity in the balance sheets. </w:t>
      </w:r>
    </w:p>
    <w:p>
      <w:pPr>
        <w:pStyle w:val="TextBody"/>
        <w:bidi w:val="0"/>
        <w:spacing w:before="180" w:after="0"/>
        <w:jc w:val="left"/>
        <w:rPr>
          <w:rFonts w:ascii="Arial" w:hAnsi="Arial"/>
          <w:sz w:val="19"/>
        </w:rPr>
      </w:pPr>
      <w:r>
        <w:rPr>
          <w:rFonts w:ascii="Arial" w:hAnsi="Arial"/>
          <w:sz w:val="19"/>
        </w:rPr>
        <w:t xml:space="preserve">The following table presents information related to redeemable convertible preferred stock (in thousands, except share and per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365" w:type="dxa"/>
        <w:jc w:val="center"/>
        <w:tblInd w:w="0" w:type="dxa"/>
        <w:tblLayout w:type="fixed"/>
        <w:tblCellMar>
          <w:top w:w="0" w:type="dxa"/>
          <w:left w:w="0" w:type="dxa"/>
          <w:bottom w:w="0" w:type="dxa"/>
          <w:right w:w="0" w:type="dxa"/>
        </w:tblCellMar>
      </w:tblPr>
      <w:tblGrid>
        <w:gridCol w:w="1025"/>
        <w:gridCol w:w="60"/>
        <w:gridCol w:w="87"/>
        <w:gridCol w:w="1598"/>
        <w:gridCol w:w="60"/>
        <w:gridCol w:w="60"/>
        <w:gridCol w:w="125"/>
        <w:gridCol w:w="2310"/>
        <w:gridCol w:w="60"/>
        <w:gridCol w:w="60"/>
        <w:gridCol w:w="253"/>
        <w:gridCol w:w="1447"/>
        <w:gridCol w:w="60"/>
        <w:gridCol w:w="60"/>
        <w:gridCol w:w="204"/>
        <w:gridCol w:w="1166"/>
        <w:gridCol w:w="60"/>
        <w:gridCol w:w="60"/>
        <w:gridCol w:w="374"/>
        <w:gridCol w:w="1176"/>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20" w:type="dxa"/>
            <w:gridSpan w:val="18"/>
            <w:tcBorders>
              <w:bottom w:val="single" w:sz="2" w:space="0" w:color="000000"/>
            </w:tcBorders>
            <w:tcMar>
              <w:bottom w:w="28" w:type="dxa"/>
            </w:tcMar>
            <w:vAlign w:val="bottom"/>
          </w:tcPr>
          <w:p>
            <w:pPr>
              <w:pStyle w:val="TableContents"/>
              <w:bidi w:val="0"/>
              <w:spacing w:before="0" w:after="283"/>
              <w:jc w:val="center"/>
              <w:rPr>
                <w:b/>
              </w:rPr>
            </w:pPr>
            <w:r>
              <w:rPr>
                <w:b/>
              </w:rPr>
              <w:t>AS OF JUNE 30, 2026</w:t>
            </w:r>
          </w:p>
        </w:tc>
        <w:tc>
          <w:tcPr>
            <w:tcW w:w="60" w:type="dxa"/>
            <w:tcBorders/>
            <w:vAlign w:val="bottom"/>
          </w:tcPr>
          <w:p>
            <w:pPr>
              <w:pStyle w:val="TableContents"/>
              <w:bidi w:val="0"/>
              <w:spacing w:before="0" w:after="283"/>
              <w:jc w:val="left"/>
              <w:rPr/>
            </w:pPr>
            <w:r>
              <w:rPr/>
              <w:t> </w:t>
            </w:r>
          </w:p>
        </w:tc>
      </w:tr>
      <w:tr>
        <w:trPr/>
        <w:tc>
          <w:tcPr>
            <w:tcW w:w="102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6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SHARES</w:t>
              <w:br/>
              <w:t>AUTHORIZED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SHARE ISSUED</w:t>
              <w:br/>
              <w:t>AND OUTSTANDING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ORIGINAL</w:t>
              <w:br/>
              <w:t>ISSUE PRICE</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A</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10" w:type="dxa"/>
            <w:tcBorders/>
            <w:shd w:fill="CCEEFF" w:val="clear"/>
            <w:vAlign w:val="bottom"/>
          </w:tcPr>
          <w:p>
            <w:pPr>
              <w:pStyle w:val="TableContents"/>
              <w:bidi w:val="0"/>
              <w:spacing w:before="0" w:after="283"/>
              <w:jc w:val="right"/>
              <w:rPr/>
            </w:pPr>
            <w:r>
              <w:rPr/>
              <w:t>22,601,626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34,750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34,650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1.54</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sz w:val="19"/>
              </w:rPr>
            </w:pPr>
            <w:r>
              <w:rPr>
                <w:rFonts w:ascii="Arial" w:hAnsi="Arial"/>
                <w:sz w:val="19"/>
              </w:rPr>
              <w:t>Series B</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10" w:type="dxa"/>
            <w:tcBorders/>
            <w:vAlign w:val="bottom"/>
          </w:tcPr>
          <w:p>
            <w:pPr>
              <w:pStyle w:val="TableContents"/>
              <w:bidi w:val="0"/>
              <w:spacing w:before="0" w:after="283"/>
              <w:jc w:val="right"/>
              <w:rPr/>
            </w:pPr>
            <w:r>
              <w:rPr/>
              <w:t>9,309,492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84,019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83,836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w:t>
            </w:r>
          </w:p>
        </w:tc>
        <w:tc>
          <w:tcPr>
            <w:tcW w:w="1176" w:type="dxa"/>
            <w:tcBorders/>
            <w:vAlign w:val="bottom"/>
          </w:tcPr>
          <w:p>
            <w:pPr>
              <w:pStyle w:val="TableContents"/>
              <w:bidi w:val="0"/>
              <w:spacing w:before="0" w:after="283"/>
              <w:jc w:val="right"/>
              <w:rPr/>
            </w:pPr>
            <w:r>
              <w:rPr/>
              <w:t>9.03</w:t>
            </w:r>
          </w:p>
        </w:tc>
        <w:tc>
          <w:tcPr>
            <w:tcW w:w="60" w:type="dxa"/>
            <w:tcBorders/>
            <w:vAlign w:val="bottom"/>
          </w:tcPr>
          <w:p>
            <w:pPr>
              <w:pStyle w:val="TableContents"/>
              <w:bidi w:val="0"/>
              <w:spacing w:before="0" w:after="283"/>
              <w:jc w:val="left"/>
              <w:rPr/>
            </w:pPr>
            <w:r>
              <w:rPr/>
              <w:t> </w:t>
            </w:r>
          </w:p>
        </w:tc>
      </w:tr>
      <w:tr>
        <w:trPr/>
        <w:tc>
          <w:tcPr>
            <w:tcW w:w="1025" w:type="dxa"/>
            <w:tcBorders/>
            <w:shd w:fill="CCEEFF" w:val="clear"/>
          </w:tcPr>
          <w:p>
            <w:pPr>
              <w:pStyle w:val="TableContents"/>
              <w:bidi w:val="0"/>
              <w:spacing w:before="0" w:after="0"/>
              <w:jc w:val="left"/>
              <w:rPr>
                <w:rFonts w:ascii="Arial" w:hAnsi="Arial"/>
                <w:sz w:val="19"/>
              </w:rPr>
            </w:pPr>
            <w:r>
              <w:rPr>
                <w:rFonts w:ascii="Arial" w:hAnsi="Arial"/>
                <w:sz w:val="19"/>
              </w:rPr>
              <w:t>Series C</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27,203,243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10" w:type="dxa"/>
            <w:tcBorders/>
            <w:shd w:fill="CCEEFF" w:val="clear"/>
            <w:vAlign w:val="bottom"/>
          </w:tcPr>
          <w:p>
            <w:pPr>
              <w:pStyle w:val="TableContents"/>
              <w:bidi w:val="0"/>
              <w:spacing w:before="0" w:after="283"/>
              <w:jc w:val="right"/>
              <w:rPr/>
            </w:pPr>
            <w:r>
              <w:rPr/>
              <w:t>27,203,243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184,133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192,685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6.77</w:t>
            </w:r>
          </w:p>
        </w:tc>
        <w:tc>
          <w:tcPr>
            <w:tcW w:w="60"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5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2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Arial" w:hAnsi="Arial"/>
                <w:sz w:val="19"/>
              </w:rPr>
            </w:pPr>
            <w:r>
              <w:rPr>
                <w:rFonts w:ascii="Arial" w:hAnsi="Arial"/>
                <w:sz w:val="19"/>
              </w:rPr>
              <w:t>Total redeemable convertible preferred stock</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59,114,361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10" w:type="dxa"/>
            <w:tcBorders/>
            <w:vAlign w:val="bottom"/>
          </w:tcPr>
          <w:p>
            <w:pPr>
              <w:pStyle w:val="TableContents"/>
              <w:bidi w:val="0"/>
              <w:spacing w:before="0" w:after="283"/>
              <w:jc w:val="right"/>
              <w:rPr/>
            </w:pPr>
            <w:r>
              <w:rPr/>
              <w:t>59,114,361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447" w:type="dxa"/>
            <w:tcBorders/>
            <w:vAlign w:val="bottom"/>
          </w:tcPr>
          <w:p>
            <w:pPr>
              <w:pStyle w:val="TableContents"/>
              <w:bidi w:val="0"/>
              <w:spacing w:before="0" w:after="283"/>
              <w:jc w:val="right"/>
              <w:rPr/>
            </w:pPr>
            <w:r>
              <w:rPr/>
              <w:t>302,902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311,171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5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double" w:sz="6" w:space="1" w:color="000000"/>
              </w:pBdr>
              <w:bidi w:val="0"/>
              <w:spacing w:before="0" w:after="0"/>
              <w:jc w:val="left"/>
              <w:rPr/>
            </w:pPr>
            <w:r>
              <w:rPr/>
              <w:t> </w:t>
            </w:r>
          </w:p>
        </w:tc>
        <w:tc>
          <w:tcPr>
            <w:tcW w:w="23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4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sz w:val="4"/>
                <w:szCs w:val="4"/>
              </w:rPr>
            </w:pPr>
            <w:r>
              <w:rPr>
                <w:sz w:val="4"/>
                <w:szCs w:val="4"/>
              </w:rPr>
            </w:r>
          </w:p>
        </w:tc>
        <w:tc>
          <w:tcPr>
            <w:tcW w:w="11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On October 15, 2025, pursuant to a Series C Preferred Stock Purchase Agreement (the “Purchase Agreement”), the Company issued 13,703,310 shares of its Series C Preferred Stock at a purchase price of $6.7688 per share (the “Original Issue Price”) to multiple investors (the “Investors”) in a transaction referred to as the “Initial Closing”, resulting in gross proceeds of $92.8 million. </w:t>
      </w:r>
    </w:p>
    <w:p>
      <w:pPr>
        <w:pStyle w:val="TextBody"/>
        <w:bidi w:val="0"/>
        <w:spacing w:before="180" w:after="0"/>
        <w:jc w:val="left"/>
        <w:rPr>
          <w:rFonts w:ascii="Arial" w:hAnsi="Arial"/>
          <w:sz w:val="19"/>
        </w:rPr>
      </w:pPr>
      <w:r>
        <w:rPr>
          <w:rFonts w:ascii="Arial" w:hAnsi="Arial"/>
          <w:sz w:val="19"/>
        </w:rPr>
        <w:t xml:space="preserve">At the Initial Closing, previously issued Notes with aggregate principal and accrued interest of $41.4 million were automatically converted into 6,121,225 shares of Series C Preferred Stock at a conversion price equal to the Original Issue Price. $69.2 million of the $134.2 million Series C Preferred Stock was purchased by investors who had invested in the Company prior to the Initial Closing, and are considered to be related parties. </w:t>
      </w:r>
    </w:p>
    <w:p>
      <w:pPr>
        <w:pStyle w:val="TextBody"/>
        <w:bidi w:val="0"/>
        <w:spacing w:before="180" w:after="0"/>
        <w:jc w:val="left"/>
        <w:rPr>
          <w:rFonts w:ascii="Arial" w:hAnsi="Arial"/>
          <w:sz w:val="19"/>
        </w:rPr>
      </w:pPr>
      <w:r>
        <w:rPr>
          <w:rFonts w:ascii="Arial" w:hAnsi="Arial"/>
          <w:sz w:val="19"/>
        </w:rPr>
        <w:t xml:space="preserve">On June 18, 2026, pursuant to the Series C Preferred Stock Purchase Agreement, the Company closed on a subsequent closing (the “Second Tranche Closing”) and issued shares of its Series C Preferred Stock at the Original Issue Price of $6.7688 per share on the same terms as the Initial Closing. The Second Tranche Closing was made up of the same investors as those who participated in the Initial Closing in October 2025 and were committed to the Second Tranche. The Second Tranche Closing resulted in the issuance of 7,378,708 shares of Series C Preferred Stock for total gross proceeds of $49.9 million. $14.9 million of the $49.9 million Series C Preferred Stock was purchased by investors who had invested in the Company prior to the Initial Closing, and are considered to be related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parties. Due to the terms and price being the same as the Initial Closing and the passage of time between the two closing, a deemed dividend was recorded to additional paid-in capital for $9.7 million upon the issuance of the shares of Series C Preferred Stock at the Second Tranche Closing which represents the aggregate fair value of the shares of Series C Preferred Stock issued in excess of cash proceeds received. </w:t>
      </w:r>
    </w:p>
    <w:p>
      <w:pPr>
        <w:pStyle w:val="TextBody"/>
        <w:bidi w:val="0"/>
        <w:spacing w:before="180" w:after="0"/>
        <w:jc w:val="left"/>
        <w:rPr>
          <w:rFonts w:ascii="Arial" w:hAnsi="Arial"/>
          <w:sz w:val="19"/>
        </w:rPr>
      </w:pPr>
      <w:r>
        <w:rPr>
          <w:rFonts w:ascii="Arial" w:hAnsi="Arial"/>
          <w:sz w:val="19"/>
        </w:rPr>
        <w:t xml:space="preserve">The Series C Preferred Stock and the associated rights for the Second Tranche Closing were contractually linked and unable to be sold or exercised separately except in limited affiliate transfer scenarios. As such, the Second Tranche Closing was defined as an embedded feature within the Series C Preferred Stock financing rather than a freestanding instrument, and no liability was recorded for the Second Tranche Closing in 2025. </w:t>
      </w:r>
    </w:p>
    <w:p>
      <w:pPr>
        <w:pStyle w:val="TextBody"/>
        <w:bidi w:val="0"/>
        <w:spacing w:before="180" w:after="0"/>
        <w:jc w:val="left"/>
        <w:rPr>
          <w:rFonts w:ascii="Arial" w:hAnsi="Arial"/>
          <w:sz w:val="19"/>
        </w:rPr>
      </w:pPr>
      <w:r>
        <w:rPr>
          <w:rFonts w:ascii="Arial" w:hAnsi="Arial"/>
          <w:b/>
          <w:sz w:val="19"/>
        </w:rPr>
        <w:t xml:space="preserve">Dividend: </w:t>
      </w:r>
      <w:r>
        <w:rPr>
          <w:rFonts w:ascii="Arial" w:hAnsi="Arial"/>
          <w:sz w:val="19"/>
        </w:rPr>
        <w:t xml:space="preserve">Each holder of redeemable convertible preferred stock is entitled to receive non-cumulative dividends at the rate of 8% per annum for each share of redeemable convertible preferred stock outstanding, when, as and if declared by the Company’s Board of Directors (the “Board of Directors”). These dividends are payable in preference to common stock dividends. To date, the Company has not declared or paid any dividends. </w:t>
      </w:r>
    </w:p>
    <w:p>
      <w:pPr>
        <w:pStyle w:val="TextBody"/>
        <w:bidi w:val="0"/>
        <w:spacing w:before="180" w:after="0"/>
        <w:jc w:val="left"/>
        <w:rPr>
          <w:rFonts w:ascii="Arial" w:hAnsi="Arial"/>
          <w:sz w:val="19"/>
        </w:rPr>
      </w:pPr>
      <w:r>
        <w:rPr>
          <w:rFonts w:ascii="Arial" w:hAnsi="Arial"/>
          <w:b/>
          <w:sz w:val="19"/>
        </w:rPr>
        <w:t xml:space="preserve">Liquidation: </w:t>
      </w:r>
      <w:r>
        <w:rPr>
          <w:rFonts w:ascii="Arial" w:hAnsi="Arial"/>
          <w:sz w:val="19"/>
        </w:rPr>
        <w:t xml:space="preserve">In the event of any liquidation event, either voluntary or involuntary, the holders of preferred stock shall be entitled to receive out of the proceeds or assets available for distribution, prior and in preference to any distributions to the holders of common stock, an amount per share equal to the sum of the applicable original issuance price, plus declared but unpaid dividends on such share. If the proceeds distributed among the holders of the preferred stock are insufficient to permit the payment to such holders, then the entire proceeds available for distribution shall be distributed ratably among the holders of preferred stock in the same proportion to respective amounts, which would be payable if paid in full. </w:t>
      </w:r>
    </w:p>
    <w:p>
      <w:pPr>
        <w:pStyle w:val="TextBody"/>
        <w:bidi w:val="0"/>
        <w:spacing w:before="180" w:after="0"/>
        <w:jc w:val="left"/>
        <w:rPr>
          <w:rFonts w:ascii="Arial" w:hAnsi="Arial"/>
          <w:sz w:val="19"/>
        </w:rPr>
      </w:pPr>
      <w:r>
        <w:rPr>
          <w:rFonts w:ascii="Arial" w:hAnsi="Arial"/>
          <w:b/>
          <w:sz w:val="19"/>
        </w:rPr>
        <w:t xml:space="preserve">Conversion for Series A and B Preferred Stock: </w:t>
      </w:r>
      <w:r>
        <w:rPr>
          <w:rFonts w:ascii="Arial" w:hAnsi="Arial"/>
          <w:sz w:val="19"/>
        </w:rPr>
        <w:t xml:space="preserve">Each share of preferred stock shall be convertible, at the option of the holder, at any time after the date of issuance of such share into such number of shares of common stock determined by dividing the original issue price for preferred stock series by the conversion price. The conversion price is the same as the original issuance price for Series A Preferred Stock and Series B Preferred Stock. </w:t>
      </w:r>
    </w:p>
    <w:p>
      <w:pPr>
        <w:pStyle w:val="TextBody"/>
        <w:bidi w:val="0"/>
        <w:spacing w:before="18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 million of gross proceeds at a minimum price per share of $6.7688, subject to adjustment in the event of a stock split; or (2) the date, or the occurrence of an event, specified by vote or written consent or agreement of the Requisite Investors (“Requisite Investors” means Investors holding at least 70% of the shares of Series B Preferred Stock and Series C Preferred Stock then outstanding (voting together as a single class and not as separate series, and on an as-converted basis). </w:t>
      </w:r>
    </w:p>
    <w:p>
      <w:pPr>
        <w:pStyle w:val="TextBody"/>
        <w:bidi w:val="0"/>
        <w:spacing w:before="180" w:after="0"/>
        <w:jc w:val="left"/>
        <w:rPr>
          <w:rFonts w:ascii="Arial" w:hAnsi="Arial"/>
          <w:sz w:val="19"/>
        </w:rPr>
      </w:pPr>
      <w:r>
        <w:rPr>
          <w:rFonts w:ascii="Arial" w:hAnsi="Arial"/>
          <w:b/>
          <w:sz w:val="19"/>
        </w:rPr>
        <w:t xml:space="preserve">Conversion for Series C Preferred Stock: </w:t>
      </w:r>
      <w:r>
        <w:rPr>
          <w:rFonts w:ascii="Arial" w:hAnsi="Arial"/>
          <w:sz w:val="19"/>
        </w:rPr>
        <w:t xml:space="preserve">Each share of preferred stock shall be convertible, at the option of the holder, at anytime after the earlier of: (1) the day after the Second Tranche Closing; (2) a Liquidation Event; (3) the termination of the Second Tranche obligation; or (4) another date designated by the Company and the Requisite Investors, excluding any shares held by defaulting investors. </w:t>
      </w:r>
    </w:p>
    <w:p>
      <w:pPr>
        <w:pStyle w:val="TextBody"/>
        <w:bidi w:val="0"/>
        <w:spacing w:before="180" w:after="0"/>
        <w:jc w:val="left"/>
        <w:rPr>
          <w:rFonts w:ascii="Arial" w:hAnsi="Arial"/>
          <w:sz w:val="19"/>
        </w:rPr>
      </w:pPr>
      <w:r>
        <w:rPr>
          <w:rFonts w:ascii="Arial" w:hAnsi="Arial"/>
          <w:sz w:val="19"/>
        </w:rPr>
        <w:t xml:space="preserve">The conversion price is the same as the original issuance price for Series C Preferred Stock. </w:t>
      </w:r>
    </w:p>
    <w:p>
      <w:pPr>
        <w:pStyle w:val="TextBody"/>
        <w:bidi w:val="0"/>
        <w:spacing w:before="180" w:after="0"/>
        <w:jc w:val="left"/>
        <w:rPr>
          <w:rFonts w:ascii="Arial" w:hAnsi="Arial"/>
          <w:sz w:val="19"/>
        </w:rPr>
      </w:pPr>
      <w:r>
        <w:rPr>
          <w:rFonts w:ascii="Arial" w:hAnsi="Arial"/>
          <w:sz w:val="19"/>
        </w:rPr>
        <w:t xml:space="preserve">Conversion of each series of redeemable convertible preferred stock into common stock is automatic upon the earlier of: (1) the closing of the sale of common stock in a firm commitment underwritten public offering that results in at least $100.0 million of gross proceeds at a minimum price per share of $6.7688, subject to adjustment in the event of a stock split; or (2) the date, or the occurrence of an event, specified by vote or written consent or agreement of the Requisite Investors. </w:t>
      </w:r>
    </w:p>
    <w:p>
      <w:pPr>
        <w:pStyle w:val="TextBody"/>
        <w:bidi w:val="0"/>
        <w:spacing w:before="180" w:after="0"/>
        <w:jc w:val="left"/>
        <w:rPr>
          <w:rFonts w:ascii="Arial" w:hAnsi="Arial"/>
          <w:sz w:val="19"/>
        </w:rPr>
      </w:pPr>
      <w:r>
        <w:rPr>
          <w:rFonts w:ascii="Arial" w:hAnsi="Arial"/>
          <w:sz w:val="19"/>
        </w:rPr>
        <w:t xml:space="preserve">The conversion price is also subject to standard anti-dilutive adjustments for stock splits, combinations, dividends, distributions, reclassifications, and recapitalizations, as set forth in the Certificate of Incorporation. Any downward adjustment to the conversion price of the Series C Preferred Stock may be waived, prospectively or retroactively, by the consent or vote of holders of at least 60% of the then-outstanding shares of Series C Preferred Stock (voting as a single class on an as-converted basis).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b/>
          <w:sz w:val="19"/>
        </w:rPr>
        <w:t xml:space="preserve">Voting Rights: </w:t>
      </w:r>
      <w:r>
        <w:rPr>
          <w:rFonts w:ascii="Arial" w:hAnsi="Arial"/>
          <w:sz w:val="19"/>
        </w:rPr>
        <w:t xml:space="preserve">The holder of each share of preferred stock shall have the right to one vote for each share of common stock into which shares of preferred stock could then be converted. The Board of Directors of the Company is set at 7 members with 1 vacancy, appointed as follows: 2 directors from the Holders of Series B Preferred Stock, 1 director from the Holders of Series C Preferred Stock, 4 directors from the Holders of a majority of outstanding capital stock (voting together as a single class on an as-converted basis). </w:t>
      </w:r>
    </w:p>
    <w:p>
      <w:pPr>
        <w:pStyle w:val="TextBody"/>
        <w:bidi w:val="0"/>
        <w:spacing w:before="180" w:after="0"/>
        <w:jc w:val="left"/>
        <w:rPr>
          <w:rFonts w:ascii="Arial" w:hAnsi="Arial"/>
          <w:sz w:val="19"/>
        </w:rPr>
      </w:pPr>
      <w:r>
        <w:rPr>
          <w:rFonts w:ascii="Arial" w:hAnsi="Arial"/>
          <w:sz w:val="19"/>
        </w:rPr>
        <w:t xml:space="preserve">As of June 30, 2026 and December 31, 2025, a deemed liquidation event was not considered probable of occurring. Accordingly, the redeemable convertible preferred stock has not been remeasured to its redemption value. The Company will reassess the probability of a deemed liquidation event and the classification and measurement of the redeemable convertible preferred stock at each reporting period end. </w:t>
      </w:r>
    </w:p>
    <w:p>
      <w:pPr>
        <w:pStyle w:val="TextBody"/>
        <w:bidi w:val="0"/>
        <w:spacing w:before="240" w:after="0"/>
        <w:jc w:val="left"/>
        <w:rPr>
          <w:rFonts w:ascii="Arial" w:hAnsi="Arial"/>
          <w:b/>
          <w:sz w:val="20"/>
        </w:rPr>
      </w:pPr>
      <w:r>
        <w:rPr>
          <w:rFonts w:ascii="Arial" w:hAnsi="Arial"/>
          <w:b/>
          <w:sz w:val="20"/>
        </w:rPr>
        <w:t xml:space="preserve">11. Stockholders’ Deficit </w:t>
      </w:r>
    </w:p>
    <w:p>
      <w:pPr>
        <w:pStyle w:val="TextBody"/>
        <w:bidi w:val="0"/>
        <w:spacing w:before="80" w:after="0"/>
        <w:jc w:val="left"/>
        <w:rPr>
          <w:rFonts w:ascii="Arial" w:hAnsi="Arial"/>
          <w:b/>
          <w:i/>
          <w:sz w:val="19"/>
        </w:rPr>
      </w:pPr>
      <w:r>
        <w:rPr>
          <w:rFonts w:ascii="Arial" w:hAnsi="Arial"/>
          <w:b/>
          <w:i/>
          <w:sz w:val="19"/>
        </w:rPr>
        <w:t xml:space="preserve">Stock-Based Compensation </w:t>
      </w:r>
    </w:p>
    <w:p>
      <w:pPr>
        <w:pStyle w:val="TextBody"/>
        <w:bidi w:val="0"/>
        <w:spacing w:before="40" w:after="0"/>
        <w:jc w:val="left"/>
        <w:rPr>
          <w:rFonts w:ascii="Arial" w:hAnsi="Arial"/>
          <w:sz w:val="19"/>
        </w:rPr>
      </w:pPr>
      <w:r>
        <w:rPr>
          <w:rFonts w:ascii="Arial" w:hAnsi="Arial"/>
          <w:sz w:val="19"/>
        </w:rPr>
        <w:t xml:space="preserve">The Company recognized stock-based compensation as follows (in thousands):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22"/>
        <w:gridCol w:w="345"/>
        <w:gridCol w:w="348"/>
        <w:gridCol w:w="1403"/>
        <w:gridCol w:w="370"/>
        <w:gridCol w:w="561"/>
        <w:gridCol w:w="348"/>
        <w:gridCol w:w="951"/>
        <w:gridCol w:w="357"/>
      </w:tblGrid>
      <w:tr>
        <w:trPr/>
        <w:tc>
          <w:tcPr>
            <w:tcW w:w="5522"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552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981"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357" w:type="dxa"/>
            <w:tcBorders/>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751"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299"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357" w:type="dxa"/>
            <w:tcBorders/>
            <w:vAlign w:val="bottom"/>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Research and development expense – PI Units</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50</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66</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tcPr>
          <w:p>
            <w:pPr>
              <w:pStyle w:val="TableContents"/>
              <w:bidi w:val="0"/>
              <w:spacing w:before="0" w:after="0"/>
              <w:jc w:val="left"/>
              <w:rPr>
                <w:rFonts w:ascii="Arial" w:hAnsi="Arial"/>
                <w:sz w:val="19"/>
              </w:rPr>
            </w:pPr>
            <w:r>
              <w:rPr>
                <w:rFonts w:ascii="Arial" w:hAnsi="Arial"/>
                <w:sz w:val="19"/>
              </w:rPr>
              <w:t>Research and development expense – options</w:t>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1,157</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371</w:t>
            </w:r>
          </w:p>
        </w:tc>
        <w:tc>
          <w:tcPr>
            <w:tcW w:w="357" w:type="dxa"/>
            <w:tcBorders/>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 expense</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1,207</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437</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tcPr>
          <w:p>
            <w:pPr>
              <w:pStyle w:val="TableContents"/>
              <w:bidi w:val="0"/>
              <w:spacing w:before="0" w:after="0"/>
              <w:jc w:val="left"/>
              <w:rPr>
                <w:rFonts w:ascii="Arial" w:hAnsi="Arial"/>
                <w:sz w:val="19"/>
              </w:rPr>
            </w:pPr>
            <w:r>
              <w:rPr>
                <w:rFonts w:ascii="Arial" w:hAnsi="Arial"/>
                <w:sz w:val="19"/>
              </w:rPr>
              <w:t>General and administrative expense – PI Units</w:t>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164</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183</w:t>
            </w:r>
          </w:p>
        </w:tc>
        <w:tc>
          <w:tcPr>
            <w:tcW w:w="357" w:type="dxa"/>
            <w:tcBorders/>
            <w:vAlign w:val="bottom"/>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General and administrative expense – options</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1,237</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285</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522" w:type="dxa"/>
            <w:tcBorders/>
          </w:tcPr>
          <w:p>
            <w:pPr>
              <w:pStyle w:val="TableContents"/>
              <w:bidi w:val="0"/>
              <w:spacing w:before="0" w:after="0"/>
              <w:jc w:val="left"/>
              <w:rPr>
                <w:rFonts w:ascii="Arial" w:hAnsi="Arial"/>
                <w:sz w:val="19"/>
              </w:rPr>
            </w:pPr>
            <w:r>
              <w:rPr>
                <w:rFonts w:ascii="Arial" w:hAnsi="Arial"/>
                <w:sz w:val="19"/>
              </w:rPr>
              <w:t>Total general and administrative expense</w:t>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1,401</w:t>
            </w:r>
          </w:p>
        </w:tc>
        <w:tc>
          <w:tcPr>
            <w:tcW w:w="37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468</w:t>
            </w:r>
          </w:p>
        </w:tc>
        <w:tc>
          <w:tcPr>
            <w:tcW w:w="357" w:type="dxa"/>
            <w:tcBorders/>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r>
        <w:trPr/>
        <w:tc>
          <w:tcPr>
            <w:tcW w:w="5522" w:type="dxa"/>
            <w:tcBorders/>
            <w:shd w:fill="CCEEFF" w:val="clear"/>
          </w:tcPr>
          <w:p>
            <w:pPr>
              <w:pStyle w:val="TableContents"/>
              <w:bidi w:val="0"/>
              <w:spacing w:before="0" w:after="0"/>
              <w:jc w:val="left"/>
              <w:rPr>
                <w:rFonts w:ascii="Arial" w:hAnsi="Arial"/>
                <w:sz w:val="19"/>
              </w:rPr>
            </w:pPr>
            <w:r>
              <w:rPr>
                <w:rFonts w:ascii="Arial" w:hAnsi="Arial"/>
                <w:sz w:val="19"/>
              </w:rPr>
              <w:t>Total stock-based compensation expense</w:t>
            </w:r>
          </w:p>
        </w:tc>
        <w:tc>
          <w:tcPr>
            <w:tcW w:w="34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2,608</w:t>
            </w:r>
          </w:p>
        </w:tc>
        <w:tc>
          <w:tcPr>
            <w:tcW w:w="37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905</w:t>
            </w:r>
          </w:p>
        </w:tc>
        <w:tc>
          <w:tcPr>
            <w:tcW w:w="357" w:type="dxa"/>
            <w:tcBorders/>
            <w:shd w:fill="CCEEFF" w:val="clear"/>
            <w:vAlign w:val="bottom"/>
          </w:tcPr>
          <w:p>
            <w:pPr>
              <w:pStyle w:val="TableContents"/>
              <w:bidi w:val="0"/>
              <w:spacing w:before="0" w:after="283"/>
              <w:jc w:val="left"/>
              <w:rPr/>
            </w:pPr>
            <w:r>
              <w:rPr/>
              <w:t> </w:t>
            </w:r>
          </w:p>
        </w:tc>
      </w:tr>
      <w:tr>
        <w:trPr/>
        <w:tc>
          <w:tcPr>
            <w:tcW w:w="5522"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348"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b/>
          <w:i/>
          <w:sz w:val="19"/>
        </w:rPr>
      </w:pPr>
      <w:r>
        <w:rPr>
          <w:rFonts w:ascii="Arial" w:hAnsi="Arial"/>
          <w:b/>
          <w:i/>
          <w:sz w:val="19"/>
        </w:rPr>
        <w:t xml:space="preserve">Profits Interest Units </w:t>
      </w:r>
    </w:p>
    <w:p>
      <w:pPr>
        <w:pStyle w:val="TextBody"/>
        <w:bidi w:val="0"/>
        <w:spacing w:before="40" w:after="0"/>
        <w:jc w:val="left"/>
        <w:rPr>
          <w:rFonts w:ascii="Arial" w:hAnsi="Arial"/>
          <w:sz w:val="19"/>
        </w:rPr>
      </w:pPr>
      <w:r>
        <w:rPr>
          <w:rFonts w:ascii="Arial" w:hAnsi="Arial"/>
          <w:sz w:val="19"/>
        </w:rPr>
        <w:t xml:space="preserve">In December 2018, Star LLC adopted the 2018 Equity Incentive Plan (the “Star LLC Plan”) pursuant to which it could grant profits interest unit (“PI Units”) awards to its employees, managers, and consultants, including those hired and engaged by its affiliated entities. In June 2023, Star LLC’s members formed Electra Therapeutics LLC (“Electra LLC”) and contributed their Series A redeemable convertible preferred shares to Electra LLC in exchange for the Series B preferred units, Series A preferred units, Series Seed preferred units, and common units of Electra LLC. This transaction transferred all of Star LLC’s equity ownership in the Company to Electra LLC, a sister company of Star LLC immediately after the spin-off. In connection with the spin-off, Electra LLC adopted the 2023 Equity Incentive Plan (the “Electra LLC Plan”) and granted PI Units to Star LLC’s PI Unit holders who supported the operations of Electra through the ISA. On December 31, 2023, Star LLC terminated 16 employees who were immediately employed by Electra, effective January 1, 2024. On January 1, 2024, the 4.5 million PI Units previously awarded to these holders for services rendered under the MISA were remeasured with a weighted-average fair value of $1.04 per PI Unit. All other terms of the PI Units remained the same. </w:t>
      </w:r>
    </w:p>
    <w:p>
      <w:pPr>
        <w:pStyle w:val="TextBody"/>
        <w:bidi w:val="0"/>
        <w:spacing w:before="180" w:after="0"/>
        <w:jc w:val="left"/>
        <w:rPr>
          <w:rFonts w:ascii="Arial" w:hAnsi="Arial"/>
          <w:sz w:val="19"/>
        </w:rPr>
      </w:pPr>
      <w:r>
        <w:rPr>
          <w:rFonts w:ascii="Arial" w:hAnsi="Arial"/>
          <w:sz w:val="19"/>
        </w:rPr>
        <w:t xml:space="preserve">Under the provisions of the Electra LLC Plan, the board of managers of Electra LLC (the “Board of Managers”) may grant PI Units to its employees, managers, and consultants, including those hired and engaged by its affiliated entities (collectively, the “Participants”). PI Units are common units issued to Participants with a threshold amount. In the event of distribution by Electra LLC, the proceeds distributed to the holder would be reduced by the threshold amount. PI Units are economically similar to a stock option award and vest based on time or performance-based milestones, as determined by the Board of Managers of Electra LLC and stipulated in the grant agreements. </w:t>
      </w:r>
    </w:p>
    <w:p>
      <w:pPr>
        <w:pStyle w:val="TextBody"/>
        <w:bidi w:val="0"/>
        <w:spacing w:before="180" w:after="0"/>
        <w:jc w:val="left"/>
        <w:rPr>
          <w:rFonts w:ascii="Arial" w:hAnsi="Arial"/>
          <w:sz w:val="19"/>
        </w:rPr>
      </w:pPr>
      <w:r>
        <w:rPr>
          <w:rFonts w:ascii="Arial" w:hAnsi="Arial"/>
          <w:sz w:val="19"/>
        </w:rPr>
        <w:t xml:space="preserve">PI Units generally vest 25% after one year, with the remainder vesting monthly over the following three-year period. The underlying terms and intended purpose of the PI Units are more akin to stock-based compensation for employees and non-employees than a performance bonus or profit-sharing arrangement. </w:t>
      </w:r>
    </w:p>
    <w:p>
      <w:pPr>
        <w:pStyle w:val="TextBody"/>
        <w:bidi w:val="0"/>
        <w:spacing w:before="180" w:after="0"/>
        <w:jc w:val="left"/>
        <w:rPr>
          <w:rFonts w:ascii="Arial" w:hAnsi="Arial"/>
          <w:sz w:val="19"/>
        </w:rPr>
      </w:pPr>
      <w:r>
        <w:rPr>
          <w:rFonts w:ascii="Arial" w:hAnsi="Arial"/>
          <w:sz w:val="19"/>
        </w:rPr>
        <w:t xml:space="preserve">No PI Units were granted during the six months ended June 30, 2026 and the year ended December 31, 2025.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19"/>
        </w:rPr>
      </w:pPr>
      <w:r>
        <w:rPr>
          <w:rFonts w:ascii="Arial" w:hAnsi="Arial"/>
          <w:b/>
          <w:i/>
          <w:sz w:val="19"/>
        </w:rPr>
        <w:t xml:space="preserve">Stock Incentive Plan </w:t>
      </w:r>
    </w:p>
    <w:p>
      <w:pPr>
        <w:pStyle w:val="TextBody"/>
        <w:bidi w:val="0"/>
        <w:spacing w:before="40" w:after="0"/>
        <w:jc w:val="left"/>
        <w:rPr>
          <w:rFonts w:ascii="Arial" w:hAnsi="Arial"/>
          <w:sz w:val="19"/>
        </w:rPr>
      </w:pPr>
      <w:r>
        <w:rPr>
          <w:rFonts w:ascii="Arial" w:hAnsi="Arial"/>
          <w:sz w:val="19"/>
        </w:rPr>
        <w:t xml:space="preserve">In 2022, the Board of Directors approved the adoption of the 2022 Stock Plan (the “Plan”). The Plan allows for the award of incentive and non-qualified stock options and restricted stock to employees, outside directors, and consultants of the Company. In February 2026, the Board of Directors approved an amendment of the Plan to increase the number of shares of Common Stock reserved for issuance under the Plan from 8,495,719 shares to 9,295,405 shares. As of June 30, 2026, 697,252 shares were available for award under the Plan. The Board of Directors administers the Plan and determines the exercise price of options, purchase price for restricted stock, the rates at which awards vest, and the other terms and conditions of the awards. Options and restricted stock generally vest 25% upon the first anniversary of the grant date and an additional 1/48th of the shares vest each month of continuous service thereafter for 36 months, and expire 10 years from the date of grant. Stock options are eligible for early exercise. No tax benefits were realized from options and other share-based payment arrangements during the year. </w:t>
      </w:r>
    </w:p>
    <w:p>
      <w:pPr>
        <w:pStyle w:val="TextBody"/>
        <w:bidi w:val="0"/>
        <w:spacing w:before="180" w:after="0"/>
        <w:jc w:val="left"/>
        <w:rPr>
          <w:rFonts w:ascii="Arial" w:hAnsi="Arial"/>
          <w:sz w:val="19"/>
        </w:rPr>
      </w:pPr>
      <w:r>
        <w:rPr>
          <w:rFonts w:ascii="Arial" w:hAnsi="Arial"/>
          <w:sz w:val="19"/>
        </w:rPr>
        <w:t xml:space="preserve">The Company grants stock options at exercise prices deemed by the Board of Directors to be equal to the fair value of the common stock at the time of grant. The fair value of common stock has been determined by the Board of Directors at each stock option measurement date based on a variety of different factors, including contemporaneous independent valuations performed by an independent third-party valuation firm; the prices per share of redeemable convertible preferred stock sold to investors in arm’s length transactions, and the rights, preferences, and privileges of the redeemable convertible preferred stock relative to the Company’s common stock; the Company’s stage of development and material risks related to the business; results of operations and financial position, including levels of available capital resources; progress of research and development activities; the lack of marketability of the Company’s common stock as a private company; the status of strategic transactions; the hiring of key personnel and the experience of management; the likelihood and timing of achieving a liquidity event, such as an initial public offering or a sale of the Company, given prevailing market conditions; market performance of comparable publicly traded companies; trends and developments in the life sciences and biopharmaceutical industry; and external market conditions affecting the industry sector. </w:t>
      </w:r>
    </w:p>
    <w:p>
      <w:pPr>
        <w:pStyle w:val="TextBody"/>
        <w:bidi w:val="0"/>
        <w:spacing w:before="180" w:after="0"/>
        <w:jc w:val="left"/>
        <w:rPr>
          <w:rFonts w:ascii="Arial" w:hAnsi="Arial"/>
          <w:sz w:val="19"/>
        </w:rPr>
      </w:pPr>
      <w:r>
        <w:rPr>
          <w:rFonts w:ascii="Arial" w:hAnsi="Arial"/>
          <w:sz w:val="19"/>
        </w:rPr>
        <w:t xml:space="preserve">The Company calculated the value of the stock options using the Black-Scholes option pricing model with the following assumptions: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2"/>
        <w:gridCol w:w="122"/>
        <w:gridCol w:w="60"/>
        <w:gridCol w:w="1521"/>
        <w:gridCol w:w="60"/>
        <w:gridCol w:w="122"/>
        <w:gridCol w:w="60"/>
        <w:gridCol w:w="1204"/>
        <w:gridCol w:w="64"/>
      </w:tblGrid>
      <w:tr>
        <w:trPr/>
        <w:tc>
          <w:tcPr>
            <w:tcW w:w="69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9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27"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64" w:type="dxa"/>
            <w:tcBorders/>
            <w:vAlign w:val="bottom"/>
          </w:tcPr>
          <w:p>
            <w:pPr>
              <w:pStyle w:val="TableContents"/>
              <w:bidi w:val="0"/>
              <w:spacing w:before="0" w:after="283"/>
              <w:jc w:val="left"/>
              <w:rPr/>
            </w:pPr>
            <w:r>
              <w:rPr/>
              <w:t> </w:t>
            </w:r>
          </w:p>
        </w:tc>
      </w:tr>
      <w:tr>
        <w:trPr/>
        <w:tc>
          <w:tcPr>
            <w:tcW w:w="699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58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64"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6992" w:type="dxa"/>
            <w:tcBorders/>
            <w:shd w:fill="CCEEFF" w:val="clear"/>
          </w:tcPr>
          <w:p>
            <w:pPr>
              <w:pStyle w:val="TableContents"/>
              <w:bidi w:val="0"/>
              <w:spacing w:before="0" w:after="0"/>
              <w:jc w:val="left"/>
              <w:rPr>
                <w:rFonts w:ascii="Arial" w:hAnsi="Arial"/>
                <w:sz w:val="19"/>
              </w:rPr>
            </w:pPr>
            <w:r>
              <w:rPr>
                <w:rFonts w:ascii="Arial" w:hAnsi="Arial"/>
                <w:sz w:val="19"/>
              </w:rPr>
              <w:t>Risk-free interest rate</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3.6%–4.2%</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4.4%–4.4%</w:t>
            </w:r>
          </w:p>
        </w:tc>
        <w:tc>
          <w:tcPr>
            <w:tcW w:w="64" w:type="dxa"/>
            <w:tcBorders/>
            <w:shd w:fill="CCEEFF" w:val="clear"/>
            <w:vAlign w:val="bottom"/>
          </w:tcPr>
          <w:p>
            <w:pPr>
              <w:pStyle w:val="TableContents"/>
              <w:bidi w:val="0"/>
              <w:spacing w:before="0" w:after="283"/>
              <w:jc w:val="left"/>
              <w:rPr/>
            </w:pPr>
            <w:r>
              <w:rPr/>
              <w:t> </w:t>
            </w:r>
          </w:p>
        </w:tc>
      </w:tr>
      <w:tr>
        <w:trPr/>
        <w:tc>
          <w:tcPr>
            <w:tcW w:w="6992" w:type="dxa"/>
            <w:tcBorders/>
          </w:tcPr>
          <w:p>
            <w:pPr>
              <w:pStyle w:val="TableContents"/>
              <w:bidi w:val="0"/>
              <w:spacing w:before="0" w:after="0"/>
              <w:jc w:val="left"/>
              <w:rPr>
                <w:rFonts w:ascii="Arial" w:hAnsi="Arial"/>
                <w:sz w:val="19"/>
              </w:rPr>
            </w:pPr>
            <w:r>
              <w:rPr>
                <w:rFonts w:ascii="Arial" w:hAnsi="Arial"/>
                <w:sz w:val="19"/>
              </w:rPr>
              <w:t>Expected term, in years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5.00–6.18</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6.08</w:t>
            </w:r>
          </w:p>
        </w:tc>
        <w:tc>
          <w:tcPr>
            <w:tcW w:w="64" w:type="dxa"/>
            <w:tcBorders/>
            <w:vAlign w:val="bottom"/>
          </w:tcPr>
          <w:p>
            <w:pPr>
              <w:pStyle w:val="TableContents"/>
              <w:bidi w:val="0"/>
              <w:spacing w:before="0" w:after="283"/>
              <w:jc w:val="left"/>
              <w:rPr/>
            </w:pPr>
            <w:r>
              <w:rPr/>
              <w:t> </w:t>
            </w:r>
          </w:p>
        </w:tc>
      </w:tr>
      <w:tr>
        <w:trPr/>
        <w:tc>
          <w:tcPr>
            <w:tcW w:w="6992" w:type="dxa"/>
            <w:tcBorders/>
            <w:shd w:fill="CCEEFF" w:val="clear"/>
          </w:tcPr>
          <w:p>
            <w:pPr>
              <w:pStyle w:val="TableContents"/>
              <w:bidi w:val="0"/>
              <w:spacing w:before="0" w:after="0"/>
              <w:jc w:val="left"/>
              <w:rPr>
                <w:rFonts w:ascii="Arial" w:hAnsi="Arial"/>
                <w:sz w:val="19"/>
              </w:rPr>
            </w:pPr>
            <w:r>
              <w:rPr>
                <w:rFonts w:ascii="Arial" w:hAnsi="Arial"/>
                <w:sz w:val="19"/>
              </w:rPr>
              <w:t>Expected dividend yield</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6992" w:type="dxa"/>
            <w:tcBorders/>
          </w:tcPr>
          <w:p>
            <w:pPr>
              <w:pStyle w:val="TableContents"/>
              <w:bidi w:val="0"/>
              <w:spacing w:before="0" w:after="0"/>
              <w:jc w:val="left"/>
              <w:rPr>
                <w:rFonts w:ascii="Arial" w:hAnsi="Arial"/>
                <w:sz w:val="19"/>
              </w:rPr>
            </w:pPr>
            <w:r>
              <w:rPr>
                <w:rFonts w:ascii="Arial" w:hAnsi="Arial"/>
                <w:sz w:val="19"/>
              </w:rPr>
              <w:t>Expected volatility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103.3%–131.8%</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93.1%–93.1%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The Black-Scholes option pricing model requires the use of subjective assumptions to determine the fair value of stock-based awards,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Risk-Free Interest Rate – based on the yield available on U.S. Treasury zero-coupon issues similar in duration to the expected term of the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Term – using the simplified method which calculates the expected term as the average of the time-to-vesting and the contractual life of the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Dividend Yield – assuming the expected dividend yield is zero, as the Company has no history or expectation of paying cash dividends on common stock in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Expected Volatility – based on a study of publicly traded industry peer companies which were identified based on industry, stage of development, size, and financial leverage of potential comparable companies. Historical volatility is calculated based on a period of time commensurate with the expected term assumption.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Company records stock-based compensation expense on options as they vest and records forfeitures as they occur. </w:t>
      </w:r>
    </w:p>
    <w:p>
      <w:pPr>
        <w:pStyle w:val="TextBody"/>
        <w:bidi w:val="0"/>
        <w:spacing w:before="80" w:after="0"/>
        <w:jc w:val="left"/>
        <w:rPr>
          <w:rFonts w:ascii="Arial" w:hAnsi="Arial"/>
          <w:b/>
          <w:i/>
          <w:sz w:val="19"/>
        </w:rPr>
      </w:pPr>
      <w:r>
        <w:rPr>
          <w:rFonts w:ascii="Arial" w:hAnsi="Arial"/>
          <w:b/>
          <w:i/>
          <w:sz w:val="19"/>
        </w:rPr>
        <w:t xml:space="preserve">Performance-based Options </w:t>
      </w:r>
    </w:p>
    <w:p>
      <w:pPr>
        <w:pStyle w:val="TextBody"/>
        <w:bidi w:val="0"/>
        <w:spacing w:before="40" w:after="0"/>
        <w:jc w:val="left"/>
        <w:rPr>
          <w:rFonts w:ascii="Arial" w:hAnsi="Arial"/>
          <w:sz w:val="19"/>
        </w:rPr>
      </w:pPr>
      <w:r>
        <w:rPr>
          <w:rFonts w:ascii="Arial" w:hAnsi="Arial"/>
          <w:sz w:val="19"/>
        </w:rPr>
        <w:t xml:space="preserve">On February 13, 2026, the Company granted 547,278 performance-based options to certain officers. The award has an exercise price of $3.30 per share and vests ratably on a monthly basis over four years, subject to and contingent on the achievement of specified operational milestones approved by the Board of Directors. As of June 30, 2026, the requisite performance criteria for these options was not achieved and not probable. Therefore, no compensation expense was recognized during the six months ended June 30, 2026. </w:t>
      </w:r>
    </w:p>
    <w:p>
      <w:pPr>
        <w:pStyle w:val="TextBody"/>
        <w:bidi w:val="0"/>
        <w:spacing w:before="180" w:after="0"/>
        <w:jc w:val="left"/>
        <w:rPr>
          <w:rFonts w:ascii="Arial" w:hAnsi="Arial"/>
          <w:sz w:val="19"/>
        </w:rPr>
      </w:pPr>
      <w:r>
        <w:rPr>
          <w:rFonts w:ascii="Arial" w:hAnsi="Arial"/>
          <w:sz w:val="19"/>
        </w:rPr>
        <w:t xml:space="preserve">The following table summarizes the Company’s stock option activity, including performance-based options: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88"/>
        <w:gridCol w:w="328"/>
        <w:gridCol w:w="70"/>
        <w:gridCol w:w="1086"/>
        <w:gridCol w:w="155"/>
        <w:gridCol w:w="271"/>
        <w:gridCol w:w="620"/>
        <w:gridCol w:w="2008"/>
        <w:gridCol w:w="60"/>
        <w:gridCol w:w="328"/>
        <w:gridCol w:w="247"/>
        <w:gridCol w:w="1878"/>
        <w:gridCol w:w="66"/>
      </w:tblGrid>
      <w:tr>
        <w:trPr/>
        <w:tc>
          <w:tcPr>
            <w:tcW w:w="308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88" w:type="dxa"/>
            <w:vMerge w:val="restart"/>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6723"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OPTIONS OUTSTANDING</w:t>
            </w:r>
          </w:p>
        </w:tc>
        <w:tc>
          <w:tcPr>
            <w:tcW w:w="66" w:type="dxa"/>
            <w:tcBorders/>
            <w:vAlign w:val="bottom"/>
          </w:tcPr>
          <w:p>
            <w:pPr>
              <w:pStyle w:val="TableContents"/>
              <w:bidi w:val="0"/>
              <w:spacing w:before="0" w:after="283"/>
              <w:jc w:val="left"/>
              <w:rPr/>
            </w:pPr>
            <w:r>
              <w:rPr/>
              <w:t> </w:t>
            </w:r>
          </w:p>
        </w:tc>
      </w:tr>
      <w:tr>
        <w:trPr/>
        <w:tc>
          <w:tcPr>
            <w:tcW w:w="3088" w:type="dxa"/>
            <w:vMerge w:val="continue"/>
            <w:tcBorders/>
            <w:vAlign w:val="bottom"/>
          </w:tcPr>
          <w:p>
            <w:pPr>
              <w:pStyle w:val="Normal"/>
              <w:bidi w:val="0"/>
              <w:jc w:val="left"/>
              <w:rPr/>
            </w:pPr>
            <w:r>
              <w:rPr/>
            </w:r>
          </w:p>
        </w:tc>
        <w:tc>
          <w:tcPr>
            <w:tcW w:w="328" w:type="dxa"/>
            <w:tcBorders/>
            <w:vAlign w:val="bottom"/>
          </w:tcPr>
          <w:p>
            <w:pPr>
              <w:pStyle w:val="TableContents"/>
              <w:bidi w:val="0"/>
              <w:spacing w:before="0" w:after="283"/>
              <w:jc w:val="left"/>
              <w:rPr/>
            </w:pPr>
            <w:r>
              <w:rPr/>
              <w:t>  </w:t>
            </w:r>
          </w:p>
        </w:tc>
        <w:tc>
          <w:tcPr>
            <w:tcW w:w="11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62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 EXERCISE</w:t>
              <w:br/>
              <w:t>PRICE PER SHARE</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12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(IN YEARS)</w:t>
            </w:r>
          </w:p>
        </w:tc>
        <w:tc>
          <w:tcPr>
            <w:tcW w:w="66" w:type="dxa"/>
            <w:tcBorders/>
            <w:vAlign w:val="bottom"/>
          </w:tcPr>
          <w:p>
            <w:pPr>
              <w:pStyle w:val="TableContents"/>
              <w:bidi w:val="0"/>
              <w:spacing w:before="0" w:after="283"/>
              <w:jc w:val="left"/>
              <w:rPr/>
            </w:pPr>
            <w:r>
              <w:rPr/>
              <w:t> </w:t>
            </w:r>
          </w:p>
        </w:tc>
      </w:tr>
      <w:tr>
        <w:trPr/>
        <w:tc>
          <w:tcPr>
            <w:tcW w:w="3088" w:type="dxa"/>
            <w:tcBorders/>
            <w:shd w:fill="CCEEFF" w:val="clear"/>
          </w:tcPr>
          <w:p>
            <w:pPr>
              <w:pStyle w:val="TableContents"/>
              <w:bidi w:val="0"/>
              <w:spacing w:before="0" w:after="0"/>
              <w:jc w:val="left"/>
              <w:rPr>
                <w:rFonts w:ascii="Arial" w:hAnsi="Arial"/>
                <w:b/>
                <w:sz w:val="19"/>
              </w:rPr>
            </w:pPr>
            <w:r>
              <w:rPr>
                <w:rFonts w:ascii="Arial" w:hAnsi="Arial"/>
                <w:b/>
                <w:sz w:val="19"/>
              </w:rPr>
              <w:t>Balances as of December 31, 2025</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3,399,616</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w:t>
            </w:r>
          </w:p>
        </w:tc>
        <w:tc>
          <w:tcPr>
            <w:tcW w:w="2008" w:type="dxa"/>
            <w:tcBorders/>
            <w:shd w:fill="CCEEFF" w:val="clear"/>
            <w:vAlign w:val="bottom"/>
          </w:tcPr>
          <w:p>
            <w:pPr>
              <w:pStyle w:val="TableContents"/>
              <w:bidi w:val="0"/>
              <w:spacing w:before="0" w:after="283"/>
              <w:jc w:val="right"/>
              <w:rPr/>
            </w:pPr>
            <w:r>
              <w:rPr/>
              <w:t>3.23</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8.05</w:t>
            </w:r>
          </w:p>
        </w:tc>
        <w:tc>
          <w:tcPr>
            <w:tcW w:w="66" w:type="dxa"/>
            <w:tcBorders/>
            <w:shd w:fill="CCEEFF" w:val="clear"/>
            <w:vAlign w:val="bottom"/>
          </w:tcPr>
          <w:p>
            <w:pPr>
              <w:pStyle w:val="TableContents"/>
              <w:bidi w:val="0"/>
              <w:spacing w:before="0" w:after="283"/>
              <w:jc w:val="left"/>
              <w:rPr/>
            </w:pPr>
            <w:r>
              <w:rPr/>
              <w:t> </w:t>
            </w:r>
          </w:p>
        </w:tc>
      </w:tr>
      <w:tr>
        <w:trPr/>
        <w:tc>
          <w:tcPr>
            <w:tcW w:w="308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2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87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88" w:type="dxa"/>
            <w:tcBorders/>
          </w:tcPr>
          <w:p>
            <w:pPr>
              <w:pStyle w:val="TableContents"/>
              <w:bidi w:val="0"/>
              <w:spacing w:before="0" w:after="0"/>
              <w:jc w:val="left"/>
              <w:rPr>
                <w:rFonts w:ascii="Arial" w:hAnsi="Arial"/>
                <w:sz w:val="19"/>
              </w:rPr>
            </w:pPr>
            <w:r>
              <w:rPr>
                <w:rFonts w:ascii="Arial" w:hAnsi="Arial"/>
                <w:sz w:val="19"/>
              </w:rPr>
              <w:t>Options granted</w:t>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5,235,912</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w:t>
            </w:r>
          </w:p>
        </w:tc>
        <w:tc>
          <w:tcPr>
            <w:tcW w:w="2008"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shd w:fill="CCEEFF" w:val="clear"/>
          </w:tcPr>
          <w:p>
            <w:pPr>
              <w:pStyle w:val="TableContents"/>
              <w:bidi w:val="0"/>
              <w:spacing w:before="0" w:after="0"/>
              <w:jc w:val="left"/>
              <w:rPr>
                <w:rFonts w:ascii="Arial" w:hAnsi="Arial"/>
                <w:sz w:val="19"/>
              </w:rPr>
            </w:pPr>
            <w:r>
              <w:rPr>
                <w:rFonts w:ascii="Arial" w:hAnsi="Arial"/>
                <w:sz w:val="19"/>
              </w:rPr>
              <w:t>Options forfeited</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(81,375</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w:t>
            </w:r>
          </w:p>
        </w:tc>
        <w:tc>
          <w:tcPr>
            <w:tcW w:w="2008" w:type="dxa"/>
            <w:tcBorders/>
            <w:shd w:fill="CCEEFF" w:val="clear"/>
            <w:vAlign w:val="bottom"/>
          </w:tcPr>
          <w:p>
            <w:pPr>
              <w:pStyle w:val="TableContents"/>
              <w:bidi w:val="0"/>
              <w:spacing w:before="0" w:after="283"/>
              <w:jc w:val="right"/>
              <w:rPr/>
            </w:pPr>
            <w:r>
              <w:rPr/>
              <w:t>3.30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87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88" w:type="dxa"/>
            <w:tcBorders/>
          </w:tcPr>
          <w:p>
            <w:pPr>
              <w:pStyle w:val="TableContents"/>
              <w:bidi w:val="0"/>
              <w:spacing w:before="0" w:after="0"/>
              <w:jc w:val="left"/>
              <w:rPr>
                <w:rFonts w:ascii="Arial" w:hAnsi="Arial"/>
                <w:sz w:val="19"/>
              </w:rPr>
            </w:pPr>
            <w:r>
              <w:rPr>
                <w:rFonts w:ascii="Arial" w:hAnsi="Arial"/>
                <w:sz w:val="19"/>
              </w:rPr>
              <w:t>Options cancelled</w:t>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w:t>
            </w:r>
          </w:p>
        </w:tc>
        <w:tc>
          <w:tcPr>
            <w:tcW w:w="200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sz w:val="4"/>
                <w:szCs w:val="4"/>
              </w:rPr>
            </w:pPr>
            <w:r>
              <w:rPr>
                <w:sz w:val="4"/>
                <w:szCs w:val="4"/>
              </w:rPr>
            </w:r>
          </w:p>
        </w:tc>
        <w:tc>
          <w:tcPr>
            <w:tcW w:w="2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shd w:fill="CCEEFF" w:val="clear"/>
          </w:tcPr>
          <w:p>
            <w:pPr>
              <w:pStyle w:val="TableContents"/>
              <w:bidi w:val="0"/>
              <w:spacing w:before="0" w:after="0"/>
              <w:jc w:val="left"/>
              <w:rPr>
                <w:rFonts w:ascii="Arial" w:hAnsi="Arial"/>
                <w:b/>
                <w:sz w:val="19"/>
              </w:rPr>
            </w:pPr>
            <w:r>
              <w:rPr>
                <w:rFonts w:ascii="Arial" w:hAnsi="Arial"/>
                <w:b/>
                <w:sz w:val="19"/>
              </w:rPr>
              <w:t>Balances as of June 30, 2026</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8,554,153</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pPr>
            <w:r>
              <w:rPr/>
              <w:t>$</w:t>
            </w:r>
          </w:p>
        </w:tc>
        <w:tc>
          <w:tcPr>
            <w:tcW w:w="2008" w:type="dxa"/>
            <w:tcBorders/>
            <w:shd w:fill="CCEEFF" w:val="clear"/>
            <w:vAlign w:val="bottom"/>
          </w:tcPr>
          <w:p>
            <w:pPr>
              <w:pStyle w:val="TableContents"/>
              <w:bidi w:val="0"/>
              <w:spacing w:before="0" w:after="283"/>
              <w:jc w:val="right"/>
              <w:rPr/>
            </w:pPr>
            <w:r>
              <w:rPr/>
              <w:t>3.27</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878" w:type="dxa"/>
            <w:tcBorders/>
            <w:shd w:fill="CCEEFF" w:val="clear"/>
            <w:vAlign w:val="bottom"/>
          </w:tcPr>
          <w:p>
            <w:pPr>
              <w:pStyle w:val="TableContents"/>
              <w:bidi w:val="0"/>
              <w:spacing w:before="0" w:after="283"/>
              <w:jc w:val="right"/>
              <w:rPr/>
            </w:pPr>
            <w:r>
              <w:rPr/>
              <w:t>8.73</w:t>
            </w:r>
          </w:p>
        </w:tc>
        <w:tc>
          <w:tcPr>
            <w:tcW w:w="66" w:type="dxa"/>
            <w:tcBorders/>
            <w:shd w:fill="CCEEFF" w:val="clear"/>
            <w:vAlign w:val="bottom"/>
          </w:tcPr>
          <w:p>
            <w:pPr>
              <w:pStyle w:val="TableContents"/>
              <w:bidi w:val="0"/>
              <w:spacing w:before="0" w:after="283"/>
              <w:jc w:val="left"/>
              <w:rPr/>
            </w:pPr>
            <w:r>
              <w:rPr/>
              <w:t> </w:t>
            </w:r>
          </w:p>
        </w:tc>
      </w:tr>
      <w:tr>
        <w:trPr/>
        <w:tc>
          <w:tcPr>
            <w:tcW w:w="308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sz w:val="4"/>
                <w:szCs w:val="4"/>
              </w:rPr>
            </w:pPr>
            <w:r>
              <w:rPr>
                <w:sz w:val="4"/>
                <w:szCs w:val="4"/>
              </w:rPr>
            </w:r>
          </w:p>
        </w:tc>
        <w:tc>
          <w:tcPr>
            <w:tcW w:w="2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tcPr>
          <w:p>
            <w:pPr>
              <w:pStyle w:val="TableContents"/>
              <w:bidi w:val="0"/>
              <w:spacing w:before="0" w:after="0"/>
              <w:jc w:val="left"/>
              <w:rPr>
                <w:rFonts w:ascii="Arial" w:hAnsi="Arial"/>
                <w:b/>
                <w:sz w:val="19"/>
              </w:rPr>
            </w:pPr>
            <w:r>
              <w:rPr>
                <w:rFonts w:ascii="Arial" w:hAnsi="Arial"/>
                <w:b/>
                <w:sz w:val="19"/>
              </w:rPr>
              <w:t>Vested as of June 30, 2026</w:t>
            </w:r>
          </w:p>
        </w:tc>
        <w:tc>
          <w:tcPr>
            <w:tcW w:w="32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2,371,158</w:t>
            </w:r>
          </w:p>
        </w:tc>
        <w:tc>
          <w:tcPr>
            <w:tcW w:w="15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sz w:val="4"/>
                <w:szCs w:val="4"/>
              </w:rPr>
            </w:pPr>
            <w:r>
              <w:rPr>
                <w:sz w:val="4"/>
                <w:szCs w:val="4"/>
              </w:rPr>
            </w:r>
          </w:p>
        </w:tc>
        <w:tc>
          <w:tcPr>
            <w:tcW w:w="2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8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88" w:type="dxa"/>
            <w:tcBorders/>
            <w:shd w:fill="CCEEFF" w:val="clear"/>
          </w:tcPr>
          <w:p>
            <w:pPr>
              <w:pStyle w:val="TableContents"/>
              <w:bidi w:val="0"/>
              <w:spacing w:before="0" w:after="0"/>
              <w:jc w:val="left"/>
              <w:rPr>
                <w:rFonts w:ascii="Arial" w:hAnsi="Arial"/>
                <w:b/>
                <w:sz w:val="19"/>
              </w:rPr>
            </w:pPr>
            <w:r>
              <w:rPr>
                <w:rFonts w:ascii="Arial" w:hAnsi="Arial"/>
                <w:b/>
                <w:sz w:val="19"/>
              </w:rPr>
              <w:t>Expected to vest as of June 30, 2026</w:t>
            </w:r>
          </w:p>
        </w:tc>
        <w:tc>
          <w:tcPr>
            <w:tcW w:w="32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6,182,995</w:t>
            </w:r>
          </w:p>
        </w:tc>
        <w:tc>
          <w:tcPr>
            <w:tcW w:w="15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left"/>
              <w:rPr>
                <w:sz w:val="4"/>
                <w:szCs w:val="4"/>
              </w:rPr>
            </w:pPr>
            <w:r>
              <w:rPr>
                <w:sz w:val="4"/>
                <w:szCs w:val="4"/>
              </w:rPr>
            </w:r>
          </w:p>
        </w:tc>
        <w:tc>
          <w:tcPr>
            <w:tcW w:w="2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87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As of June 30, 2026, the total gross unrecognized stock-based compensation expense related to unvested stock options aggregated to $15.9 million. These expenses are expected to be recognized over a weighted-average period of 3.0 years. The total fair value of options vested during the six months ended June 30, 2026 was $1.9 million. </w:t>
      </w:r>
    </w:p>
    <w:p>
      <w:pPr>
        <w:pStyle w:val="TextBody"/>
        <w:bidi w:val="0"/>
        <w:spacing w:before="240" w:after="0"/>
        <w:jc w:val="left"/>
        <w:rPr>
          <w:rFonts w:ascii="Arial" w:hAnsi="Arial"/>
          <w:b/>
          <w:sz w:val="20"/>
        </w:rPr>
      </w:pPr>
      <w:r>
        <w:rPr>
          <w:rFonts w:ascii="Arial" w:hAnsi="Arial"/>
          <w:b/>
          <w:sz w:val="20"/>
        </w:rPr>
        <w:t xml:space="preserve">12. Segments </w:t>
      </w:r>
    </w:p>
    <w:p>
      <w:pPr>
        <w:pStyle w:val="TextBody"/>
        <w:bidi w:val="0"/>
        <w:spacing w:before="80" w:after="0"/>
        <w:jc w:val="left"/>
        <w:rPr>
          <w:rFonts w:ascii="Arial" w:hAnsi="Arial"/>
          <w:sz w:val="19"/>
        </w:rPr>
      </w:pPr>
      <w:r>
        <w:rPr>
          <w:rFonts w:ascii="Arial" w:hAnsi="Arial"/>
          <w:sz w:val="19"/>
        </w:rPr>
        <w:t xml:space="preserve">The Company’s CODM is its Chief Executive Officer, who reviews financial information presented on a net loss basis as reported in the statement of operations in order to make decisions about allocating resources and assessing performance for the entire Company. The CODM also utilizes the Company’s annual budget and strategic plan, as a key input to resource allocation. The CODM function approves of key operating and strategic decisions. The CODM function views the Company’s operations and manages its business as a single reportable operating segment. </w:t>
      </w:r>
    </w:p>
    <w:p>
      <w:pPr>
        <w:pStyle w:val="TextBody"/>
        <w:bidi w:val="0"/>
        <w:spacing w:before="180" w:after="0"/>
        <w:jc w:val="left"/>
        <w:rPr>
          <w:rFonts w:ascii="Arial" w:hAnsi="Arial"/>
          <w:sz w:val="19"/>
        </w:rPr>
      </w:pPr>
      <w:r>
        <w:rPr>
          <w:rFonts w:ascii="Arial" w:hAnsi="Arial"/>
          <w:sz w:val="19"/>
        </w:rPr>
        <w:t xml:space="preserve">The Company monitors its cash, cash equivalents and investments as reported on the Company’s balance sheets to determine funding needed for furthering its research and development activities, while continuing general and administrative operations. The CODM function is regularly provided with the following significant segment expenses. Significant expenses include research and development and general and administrative expenses, which are each separately presented in the Company’s statements of operations. The CODM reviews significant expenses within both the research and development and the general and administrative categories. Other segment items within net loss include interest income, interest expense, and other income (expense). No product revenue has been generated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since inception and all assets are held in the United States. See the financial statements for other financial information regarding the Company’s operating segment. The CODM is regularly provided with the following significant segment expenses: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91"/>
        <w:gridCol w:w="280"/>
        <w:gridCol w:w="242"/>
        <w:gridCol w:w="1285"/>
        <w:gridCol w:w="324"/>
        <w:gridCol w:w="405"/>
        <w:gridCol w:w="242"/>
        <w:gridCol w:w="1287"/>
        <w:gridCol w:w="249"/>
      </w:tblGrid>
      <w:tr>
        <w:trPr/>
        <w:tc>
          <w:tcPr>
            <w:tcW w:w="5891"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3785"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7"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529"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2025  </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Operating expenses: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5891" w:type="dxa"/>
            <w:tcBorders/>
          </w:tcPr>
          <w:p>
            <w:pPr>
              <w:pStyle w:val="TableContents"/>
              <w:bidi w:val="0"/>
              <w:spacing w:before="0" w:after="0"/>
              <w:jc w:val="left"/>
              <w:rPr>
                <w:rFonts w:ascii="Arial" w:hAnsi="Arial"/>
                <w:sz w:val="19"/>
              </w:rPr>
            </w:pPr>
            <w:r>
              <w:rPr>
                <w:rFonts w:ascii="Arial" w:hAnsi="Arial"/>
                <w:sz w:val="19"/>
              </w:rPr>
              <w:t>Research and development:</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Direct program costs: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5891" w:type="dxa"/>
            <w:tcBorders/>
          </w:tcPr>
          <w:p>
            <w:pPr>
              <w:pStyle w:val="TableContents"/>
              <w:bidi w:val="0"/>
              <w:spacing w:before="0" w:after="0"/>
              <w:jc w:val="left"/>
              <w:rPr>
                <w:rFonts w:ascii="Arial" w:hAnsi="Arial"/>
                <w:sz w:val="19"/>
              </w:rPr>
            </w:pPr>
            <w:r>
              <w:rPr>
                <w:rFonts w:ascii="Arial" w:hAnsi="Arial"/>
                <w:sz w:val="19"/>
              </w:rPr>
              <w:t>Ipsoprubart</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26,124</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8,154</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Other programs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7,546</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5,385</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Unallocated costs: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6,581</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4,251</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Facilities, overhead and other</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1,386</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1,002</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Total research and development</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41,637</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18,792</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General and administrative: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287"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Personnel-related</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3,353</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1,577</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Third-party service providers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4,206</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4,689</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Facilities, overhead and other</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1,034</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311</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Total general and administrative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8,593</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6,577</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Total operating expenses</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50,230</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25,369</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Loss from operations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(50,230</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(25,369</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Other income (expense), net:</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28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5891" w:type="dxa"/>
            <w:tcBorders/>
          </w:tcPr>
          <w:p>
            <w:pPr>
              <w:pStyle w:val="TableContents"/>
              <w:bidi w:val="0"/>
              <w:spacing w:before="0" w:after="0"/>
              <w:jc w:val="left"/>
              <w:rPr>
                <w:rFonts w:ascii="Arial" w:hAnsi="Arial"/>
                <w:sz w:val="19"/>
              </w:rPr>
            </w:pPr>
            <w:r>
              <w:rPr>
                <w:rFonts w:ascii="Arial" w:hAnsi="Arial"/>
                <w:sz w:val="19"/>
              </w:rPr>
              <w:t>Interest income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1,320</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337</w:t>
            </w:r>
          </w:p>
        </w:tc>
        <w:tc>
          <w:tcPr>
            <w:tcW w:w="249" w:type="dxa"/>
            <w:tcBorders/>
            <w:vAlign w:val="bottom"/>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Interest expense – related party</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(327</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Other income (expense)</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shd w:fill="CCEEFF" w:val="clear"/>
          </w:tcPr>
          <w:p>
            <w:pPr>
              <w:pStyle w:val="TableContents"/>
              <w:bidi w:val="0"/>
              <w:spacing w:before="0" w:after="0"/>
              <w:jc w:val="left"/>
              <w:rPr>
                <w:rFonts w:ascii="Arial" w:hAnsi="Arial"/>
                <w:sz w:val="19"/>
              </w:rPr>
            </w:pPr>
            <w:r>
              <w:rPr>
                <w:rFonts w:ascii="Arial" w:hAnsi="Arial"/>
                <w:sz w:val="19"/>
              </w:rPr>
              <w:t>Total other income (expense), net</w:t>
            </w:r>
          </w:p>
        </w:tc>
        <w:tc>
          <w:tcPr>
            <w:tcW w:w="2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1,318</w:t>
            </w:r>
          </w:p>
        </w:tc>
        <w:tc>
          <w:tcPr>
            <w:tcW w:w="324"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8</w:t>
            </w:r>
          </w:p>
        </w:tc>
        <w:tc>
          <w:tcPr>
            <w:tcW w:w="249" w:type="dxa"/>
            <w:tcBorders/>
            <w:shd w:fill="CCEEFF" w:val="clear"/>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5891" w:type="dxa"/>
            <w:tcBorders/>
          </w:tcPr>
          <w:p>
            <w:pPr>
              <w:pStyle w:val="TableContents"/>
              <w:bidi w:val="0"/>
              <w:spacing w:before="0" w:after="0"/>
              <w:jc w:val="left"/>
              <w:rPr>
                <w:rFonts w:ascii="Arial" w:hAnsi="Arial"/>
                <w:sz w:val="19"/>
              </w:rPr>
            </w:pPr>
            <w:r>
              <w:rPr>
                <w:rFonts w:ascii="Arial" w:hAnsi="Arial"/>
                <w:sz w:val="19"/>
              </w:rPr>
              <w:t>Net loss</w:t>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(48,912</w:t>
            </w:r>
          </w:p>
        </w:tc>
        <w:tc>
          <w:tcPr>
            <w:tcW w:w="32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7" w:type="dxa"/>
            <w:tcBorders/>
            <w:vAlign w:val="bottom"/>
          </w:tcPr>
          <w:p>
            <w:pPr>
              <w:pStyle w:val="TableContents"/>
              <w:bidi w:val="0"/>
              <w:spacing w:before="0" w:after="283"/>
              <w:jc w:val="right"/>
              <w:rPr/>
            </w:pPr>
            <w:r>
              <w:rPr/>
              <w:t>(25,361</w:t>
            </w:r>
          </w:p>
        </w:tc>
        <w:tc>
          <w:tcPr>
            <w:tcW w:w="249" w:type="dxa"/>
            <w:tcBorders/>
            <w:vAlign w:val="bottom"/>
          </w:tcPr>
          <w:p>
            <w:pPr>
              <w:pStyle w:val="TableContents"/>
              <w:bidi w:val="0"/>
              <w:spacing w:before="0" w:after="283"/>
              <w:jc w:val="left"/>
              <w:rPr/>
            </w:pPr>
            <w:r>
              <w:rPr/>
              <w:t>) </w:t>
            </w:r>
          </w:p>
        </w:tc>
      </w:tr>
      <w:tr>
        <w:trPr/>
        <w:tc>
          <w:tcPr>
            <w:tcW w:w="589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7"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240" w:after="0"/>
        <w:jc w:val="left"/>
        <w:rPr>
          <w:rFonts w:ascii="Arial" w:hAnsi="Arial"/>
          <w:b/>
          <w:sz w:val="20"/>
        </w:rPr>
      </w:pPr>
      <w:r>
        <w:rPr>
          <w:rFonts w:ascii="Arial" w:hAnsi="Arial"/>
          <w:b/>
          <w:sz w:val="20"/>
        </w:rPr>
        <w:t xml:space="preserve">13. Net Loss Per Share Attributable to Common Stockholders </w:t>
      </w:r>
    </w:p>
    <w:p>
      <w:pPr>
        <w:pStyle w:val="TextBody"/>
        <w:bidi w:val="0"/>
        <w:spacing w:before="80" w:after="0"/>
        <w:jc w:val="left"/>
        <w:rPr>
          <w:rFonts w:ascii="Arial" w:hAnsi="Arial"/>
          <w:sz w:val="19"/>
        </w:rPr>
      </w:pPr>
      <w:r>
        <w:rPr>
          <w:rFonts w:ascii="Arial" w:hAnsi="Arial"/>
          <w:sz w:val="19"/>
        </w:rPr>
        <w:t xml:space="preserve">The following table sets forth the computation of basic and diluted net loss per share attributable to common stockholders (in thousands, except share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3"/>
        <w:gridCol w:w="151"/>
        <w:gridCol w:w="218"/>
        <w:gridCol w:w="1483"/>
        <w:gridCol w:w="303"/>
        <w:gridCol w:w="197"/>
        <w:gridCol w:w="218"/>
        <w:gridCol w:w="1223"/>
        <w:gridCol w:w="249"/>
      </w:tblGrid>
      <w:tr>
        <w:trPr/>
        <w:tc>
          <w:tcPr>
            <w:tcW w:w="616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61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642" w:type="dxa"/>
            <w:gridSpan w:val="6"/>
            <w:tcBorders>
              <w:bottom w:val="single" w:sz="2" w:space="0" w:color="000000"/>
            </w:tcBorders>
            <w:tcMar>
              <w:bottom w:w="28" w:type="dxa"/>
            </w:tcMar>
            <w:vAlign w:val="bottom"/>
          </w:tcPr>
          <w:p>
            <w:pPr>
              <w:pStyle w:val="TableContents"/>
              <w:bidi w:val="0"/>
              <w:spacing w:before="0" w:after="283"/>
              <w:jc w:val="center"/>
              <w:rPr>
                <w:b/>
              </w:rPr>
            </w:pPr>
            <w:r>
              <w:rPr>
                <w:b/>
              </w:rPr>
              <w:t>SIX MONTHS ENDED JUNE 30,</w:t>
            </w:r>
          </w:p>
        </w:tc>
        <w:tc>
          <w:tcPr>
            <w:tcW w:w="24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4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24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Numerator:</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6163" w:type="dxa"/>
            <w:tcBorders/>
          </w:tcPr>
          <w:p>
            <w:pPr>
              <w:pStyle w:val="TableContents"/>
              <w:bidi w:val="0"/>
              <w:spacing w:before="0" w:after="0"/>
              <w:jc w:val="left"/>
              <w:rPr>
                <w:rFonts w:ascii="Arial" w:hAnsi="Arial"/>
                <w:sz w:val="19"/>
              </w:rPr>
            </w:pPr>
            <w:r>
              <w:rPr>
                <w:rFonts w:ascii="Arial" w:hAnsi="Arial"/>
                <w:sz w:val="19"/>
              </w:rPr>
              <w:t>Net loss</w:t>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(48,912</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(25,361</w:t>
            </w:r>
          </w:p>
        </w:tc>
        <w:tc>
          <w:tcPr>
            <w:tcW w:w="24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Deemed dividend to Series C redeemable convertible preferred stockholders</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483" w:type="dxa"/>
            <w:tcBorders/>
            <w:shd w:fill="CCEEFF" w:val="clear"/>
            <w:vAlign w:val="bottom"/>
          </w:tcPr>
          <w:p>
            <w:pPr>
              <w:pStyle w:val="TableContents"/>
              <w:bidi w:val="0"/>
              <w:spacing w:before="0" w:after="283"/>
              <w:jc w:val="right"/>
              <w:rPr/>
            </w:pPr>
            <w:r>
              <w:rPr/>
              <w:t>(9,675</w:t>
            </w:r>
          </w:p>
        </w:tc>
        <w:tc>
          <w:tcPr>
            <w:tcW w:w="30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w:t>
            </w:r>
          </w:p>
        </w:tc>
        <w:tc>
          <w:tcPr>
            <w:tcW w:w="24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Arial" w:hAnsi="Arial"/>
                <w:sz w:val="19"/>
              </w:rPr>
            </w:pPr>
            <w:r>
              <w:rPr>
                <w:rFonts w:ascii="Arial" w:hAnsi="Arial"/>
                <w:sz w:val="19"/>
              </w:rPr>
              <w:t>Net loss attributable to common stockholders</w:t>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483" w:type="dxa"/>
            <w:tcBorders/>
            <w:vAlign w:val="bottom"/>
          </w:tcPr>
          <w:p>
            <w:pPr>
              <w:pStyle w:val="TableContents"/>
              <w:bidi w:val="0"/>
              <w:spacing w:before="0" w:after="283"/>
              <w:jc w:val="right"/>
              <w:rPr/>
            </w:pPr>
            <w:r>
              <w:rPr/>
              <w:t>(58,587</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(25,361</w:t>
            </w:r>
          </w:p>
        </w:tc>
        <w:tc>
          <w:tcPr>
            <w:tcW w:w="24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483" w:type="dxa"/>
            <w:tcBorders/>
            <w:vAlign w:val="bottom"/>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Denominator:</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48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r>
      <w:tr>
        <w:trPr/>
        <w:tc>
          <w:tcPr>
            <w:tcW w:w="6163" w:type="dxa"/>
            <w:tcBorders/>
          </w:tcPr>
          <w:p>
            <w:pPr>
              <w:pStyle w:val="TableContents"/>
              <w:bidi w:val="0"/>
              <w:spacing w:before="0" w:after="0"/>
              <w:jc w:val="left"/>
              <w:rPr>
                <w:rFonts w:ascii="Arial" w:hAnsi="Arial"/>
                <w:sz w:val="19"/>
              </w:rPr>
            </w:pPr>
            <w:r>
              <w:rPr>
                <w:rFonts w:ascii="Arial" w:hAnsi="Arial"/>
                <w:sz w:val="19"/>
              </w:rPr>
              <w:t>Weighted average shares outstanding used to compute basic and diluted net loss per share</w:t>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83" w:type="dxa"/>
            <w:tcBorders/>
            <w:vAlign w:val="bottom"/>
          </w:tcPr>
          <w:p>
            <w:pPr>
              <w:pStyle w:val="TableContents"/>
              <w:bidi w:val="0"/>
              <w:spacing w:before="0" w:after="283"/>
              <w:jc w:val="right"/>
              <w:rPr/>
            </w:pPr>
            <w:r>
              <w:rPr/>
              <w:t>44,000</w:t>
            </w:r>
          </w:p>
        </w:tc>
        <w:tc>
          <w:tcPr>
            <w:tcW w:w="303"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44,000</w:t>
            </w:r>
          </w:p>
        </w:tc>
        <w:tc>
          <w:tcPr>
            <w:tcW w:w="24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483"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Arial" w:hAnsi="Arial"/>
                <w:sz w:val="19"/>
              </w:rPr>
            </w:pPr>
            <w:r>
              <w:rPr>
                <w:rFonts w:ascii="Arial" w:hAnsi="Arial"/>
                <w:sz w:val="19"/>
              </w:rPr>
              <w:t>Net loss per share attributable to common stockholders – basic and diluted:</w:t>
            </w:r>
          </w:p>
        </w:tc>
        <w:tc>
          <w:tcPr>
            <w:tcW w:w="15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483" w:type="dxa"/>
            <w:tcBorders/>
            <w:shd w:fill="CCEEFF" w:val="clear"/>
            <w:vAlign w:val="bottom"/>
          </w:tcPr>
          <w:p>
            <w:pPr>
              <w:pStyle w:val="TableContents"/>
              <w:bidi w:val="0"/>
              <w:spacing w:before="0" w:after="283"/>
              <w:jc w:val="right"/>
              <w:rPr/>
            </w:pPr>
            <w:r>
              <w:rPr/>
              <w:t>(1,331.52</w:t>
            </w:r>
          </w:p>
        </w:tc>
        <w:tc>
          <w:tcPr>
            <w:tcW w:w="303"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(576.39</w:t>
            </w:r>
          </w:p>
        </w:tc>
        <w:tc>
          <w:tcPr>
            <w:tcW w:w="24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483" w:type="dxa"/>
            <w:tcBorders/>
            <w:vAlign w:val="bottom"/>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The following outstanding shares of potentially dilutive securities were excluded from the computation of diluted net loss per share for the periods presented because including them would have been anti-dilutive: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63"/>
        <w:gridCol w:w="124"/>
        <w:gridCol w:w="60"/>
        <w:gridCol w:w="1125"/>
        <w:gridCol w:w="60"/>
        <w:gridCol w:w="124"/>
        <w:gridCol w:w="60"/>
        <w:gridCol w:w="1125"/>
        <w:gridCol w:w="64"/>
      </w:tblGrid>
      <w:tr>
        <w:trPr/>
        <w:tc>
          <w:tcPr>
            <w:tcW w:w="746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463"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554" w:type="dxa"/>
            <w:gridSpan w:val="6"/>
            <w:tcBorders>
              <w:bottom w:val="single" w:sz="2" w:space="0" w:color="000000"/>
            </w:tcBorders>
            <w:tcMar>
              <w:bottom w:w="28" w:type="dxa"/>
            </w:tcMar>
            <w:vAlign w:val="bottom"/>
          </w:tcPr>
          <w:p>
            <w:pPr>
              <w:pStyle w:val="TableContents"/>
              <w:bidi w:val="0"/>
              <w:spacing w:before="0" w:after="283"/>
              <w:jc w:val="center"/>
              <w:rPr>
                <w:b/>
              </w:rPr>
            </w:pPr>
            <w:r>
              <w:rPr>
                <w:b/>
              </w:rPr>
              <w:t>AS OF JUNE 30,</w:t>
            </w:r>
          </w:p>
        </w:tc>
        <w:tc>
          <w:tcPr>
            <w:tcW w:w="64" w:type="dxa"/>
            <w:tcBorders/>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7463" w:type="dxa"/>
            <w:tcBorders/>
            <w:shd w:fill="CCEEFF" w:val="clear"/>
          </w:tcPr>
          <w:p>
            <w:pPr>
              <w:pStyle w:val="TableContents"/>
              <w:bidi w:val="0"/>
              <w:spacing w:before="0" w:after="0"/>
              <w:jc w:val="left"/>
              <w:rPr>
                <w:rFonts w:ascii="Arial" w:hAnsi="Arial"/>
                <w:sz w:val="19"/>
              </w:rPr>
            </w:pPr>
            <w:r>
              <w:rPr>
                <w:rFonts w:ascii="Arial" w:hAnsi="Arial"/>
                <w:sz w:val="19"/>
              </w:rPr>
              <w:t>Redeemable convertible preferred stock</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59,114,361</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31,911,118</w:t>
            </w:r>
          </w:p>
        </w:tc>
        <w:tc>
          <w:tcPr>
            <w:tcW w:w="64" w:type="dxa"/>
            <w:tcBorders/>
            <w:shd w:fill="CCEEFF" w:val="clear"/>
            <w:vAlign w:val="bottom"/>
          </w:tcPr>
          <w:p>
            <w:pPr>
              <w:pStyle w:val="TableContents"/>
              <w:bidi w:val="0"/>
              <w:spacing w:before="0" w:after="283"/>
              <w:jc w:val="left"/>
              <w:rPr/>
            </w:pPr>
            <w:r>
              <w:rPr/>
              <w:t> </w:t>
            </w:r>
          </w:p>
        </w:tc>
      </w:tr>
      <w:tr>
        <w:trPr/>
        <w:tc>
          <w:tcPr>
            <w:tcW w:w="7463" w:type="dxa"/>
            <w:tcBorders/>
          </w:tcPr>
          <w:p>
            <w:pPr>
              <w:pStyle w:val="TableContents"/>
              <w:bidi w:val="0"/>
              <w:spacing w:before="0" w:after="0"/>
              <w:jc w:val="left"/>
              <w:rPr>
                <w:rFonts w:ascii="Arial" w:hAnsi="Arial"/>
                <w:sz w:val="19"/>
              </w:rPr>
            </w:pPr>
            <w:r>
              <w:rPr>
                <w:rFonts w:ascii="Arial" w:hAnsi="Arial"/>
                <w:sz w:val="19"/>
              </w:rPr>
              <w:t>Stock options outstanding</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8,554,153</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2,630,798</w:t>
            </w:r>
          </w:p>
        </w:tc>
        <w:tc>
          <w:tcPr>
            <w:tcW w:w="64" w:type="dxa"/>
            <w:tcBorders/>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463" w:type="dxa"/>
            <w:tcBorders/>
            <w:shd w:fill="CCEEFF" w:val="clear"/>
          </w:tcPr>
          <w:p>
            <w:pPr>
              <w:pStyle w:val="TableContents"/>
              <w:bidi w:val="0"/>
              <w:spacing w:before="0" w:after="0"/>
              <w:jc w:val="left"/>
              <w:rPr>
                <w:rFonts w:ascii="Arial" w:hAnsi="Arial"/>
                <w:sz w:val="19"/>
              </w:rPr>
            </w:pPr>
            <w:r>
              <w:rPr>
                <w:rFonts w:ascii="Arial" w:hAnsi="Arial"/>
                <w:sz w:val="19"/>
              </w:rPr>
              <w:t>Total</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67,668,514</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34,541,916</w:t>
            </w:r>
          </w:p>
        </w:tc>
        <w:tc>
          <w:tcPr>
            <w:tcW w:w="64" w:type="dxa"/>
            <w:tcBorders/>
            <w:shd w:fill="CCEEFF" w:val="clear"/>
            <w:vAlign w:val="bottom"/>
          </w:tcPr>
          <w:p>
            <w:pPr>
              <w:pStyle w:val="TableContents"/>
              <w:bidi w:val="0"/>
              <w:spacing w:before="0" w:after="283"/>
              <w:jc w:val="left"/>
              <w:rPr/>
            </w:pPr>
            <w:r>
              <w:rPr/>
              <w:t> </w:t>
            </w:r>
          </w:p>
        </w:tc>
      </w:tr>
      <w:tr>
        <w:trPr/>
        <w:tc>
          <w:tcPr>
            <w:tcW w:w="746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80" w:after="0"/>
        <w:jc w:val="left"/>
        <w:rPr>
          <w:rFonts w:ascii="Arial" w:hAnsi="Arial"/>
          <w:sz w:val="19"/>
        </w:rPr>
      </w:pPr>
      <w:r>
        <w:rPr>
          <w:rFonts w:ascii="Arial" w:hAnsi="Arial"/>
          <w:sz w:val="19"/>
        </w:rPr>
        <w:t xml:space="preserve">Electra LLC PI Units are excluded as they are not potentially dilutive securities to the Company. </w:t>
      </w:r>
    </w:p>
    <w:p>
      <w:pPr>
        <w:pStyle w:val="TextBody"/>
        <w:bidi w:val="0"/>
        <w:spacing w:before="240" w:after="0"/>
        <w:jc w:val="left"/>
        <w:rPr>
          <w:rFonts w:ascii="Arial" w:hAnsi="Arial"/>
          <w:b/>
          <w:sz w:val="20"/>
        </w:rPr>
      </w:pPr>
      <w:r>
        <w:rPr>
          <w:rFonts w:ascii="Arial" w:hAnsi="Arial"/>
          <w:b/>
          <w:sz w:val="20"/>
        </w:rPr>
        <w:t xml:space="preserve">14. Subsequent events </w:t>
      </w:r>
    </w:p>
    <w:p>
      <w:pPr>
        <w:pStyle w:val="TextBody"/>
        <w:bidi w:val="0"/>
        <w:spacing w:before="80" w:after="0"/>
        <w:jc w:val="left"/>
        <w:rPr>
          <w:rFonts w:ascii="Arial" w:hAnsi="Arial"/>
          <w:sz w:val="19"/>
        </w:rPr>
      </w:pPr>
      <w:r>
        <w:rPr>
          <w:rFonts w:ascii="Arial" w:hAnsi="Arial"/>
          <w:sz w:val="19"/>
        </w:rPr>
        <w:t xml:space="preserve">The Company evaluated subsequent events through August 10, 2026, the date on which these condensed financial statements were available for issuance. No subsequent events have been identified for disclosure to or adjustment in the financial statements.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0" w:after="0"/>
        <w:jc w:val="center"/>
        <w:rPr>
          <w:rFonts w:ascii="Arial" w:hAnsi="Arial"/>
          <w:b/>
          <w:sz w:val="32"/>
        </w:rPr>
      </w:pPr>
      <w:r>
        <w:rPr>
          <w:rFonts w:ascii="Arial" w:hAnsi="Arial"/>
          <w:b/>
          <w:sz w:val="32"/>
        </w:rPr>
        <w:t xml:space="preserve">Shares </w:t>
      </w:r>
    </w:p>
    <w:p>
      <w:pPr>
        <w:pStyle w:val="TextBody"/>
        <w:bidi w:val="0"/>
        <w:spacing w:before="1200" w:after="0"/>
        <w:jc w:val="center"/>
        <w:rPr>
          <w:rFonts w:ascii="Arial" w:hAnsi="Arial"/>
          <w:b/>
          <w:sz w:val="32"/>
        </w:rPr>
      </w:pPr>
      <w:r>
        <w:rPr>
          <w:rFonts w:ascii="Arial" w:hAnsi="Arial"/>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center"/>
        <w:rPr>
          <w:rFonts w:ascii="Arial" w:hAnsi="Arial"/>
          <w:b/>
          <w:sz w:val="22"/>
        </w:rPr>
      </w:pPr>
      <w:r>
        <w:rPr>
          <w:rFonts w:ascii="Arial" w:hAnsi="Arial"/>
          <w:b/>
          <w:sz w:val="22"/>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1200" w:after="0"/>
        <w:jc w:val="center"/>
        <w:rPr>
          <w:rFonts w:ascii="Arial" w:hAnsi="Arial"/>
          <w:b/>
          <w:sz w:val="32"/>
        </w:rPr>
      </w:pPr>
      <w:r>
        <w:rPr>
          <w:rFonts w:ascii="Arial" w:hAnsi="Arial"/>
          <w:b/>
          <w:sz w:val="32"/>
        </w:rPr>
        <w:t xml:space="preserve">Jefferies </w:t>
      </w:r>
    </w:p>
    <w:p>
      <w:pPr>
        <w:pStyle w:val="TextBody"/>
        <w:bidi w:val="0"/>
        <w:spacing w:before="60" w:after="0"/>
        <w:jc w:val="center"/>
        <w:rPr>
          <w:rFonts w:ascii="Arial" w:hAnsi="Arial"/>
          <w:b/>
          <w:sz w:val="32"/>
        </w:rPr>
      </w:pPr>
      <w:r>
        <w:rPr>
          <w:rFonts w:ascii="Arial" w:hAnsi="Arial"/>
          <w:b/>
          <w:sz w:val="32"/>
        </w:rPr>
        <w:t xml:space="preserve">TD Cowen </w:t>
      </w:r>
    </w:p>
    <w:p>
      <w:pPr>
        <w:pStyle w:val="TextBody"/>
        <w:bidi w:val="0"/>
        <w:spacing w:before="60" w:after="0"/>
        <w:jc w:val="center"/>
        <w:rPr>
          <w:rFonts w:ascii="Arial" w:hAnsi="Arial"/>
          <w:b/>
          <w:sz w:val="32"/>
        </w:rPr>
      </w:pPr>
      <w:r>
        <w:rPr>
          <w:rFonts w:ascii="Arial" w:hAnsi="Arial"/>
          <w:b/>
          <w:sz w:val="32"/>
        </w:rPr>
        <w:t xml:space="preserve">Evercore ISI </w:t>
      </w:r>
    </w:p>
    <w:p>
      <w:pPr>
        <w:pStyle w:val="TextBody"/>
        <w:bidi w:val="0"/>
        <w:spacing w:before="60" w:after="0"/>
        <w:jc w:val="center"/>
        <w:rPr>
          <w:rFonts w:ascii="Arial" w:hAnsi="Arial"/>
          <w:b/>
          <w:sz w:val="32"/>
        </w:rPr>
      </w:pPr>
      <w:r>
        <w:rPr>
          <w:rFonts w:ascii="Arial" w:hAnsi="Arial"/>
          <w:b/>
          <w:sz w:val="32"/>
        </w:rPr>
        <w:t xml:space="preserve">Cantor </w:t>
      </w:r>
    </w:p>
    <w:p>
      <w:pPr>
        <w:pStyle w:val="TextBody"/>
        <w:bidi w:val="0"/>
        <w:spacing w:before="1200" w:after="0"/>
        <w:jc w:val="center"/>
        <w:rPr/>
      </w:pPr>
      <w:r>
        <w:rPr/>
        <w:t>    </w:t>
      </w:r>
      <w:r>
        <w:rPr>
          <w:rFonts w:ascii="Arial" w:hAnsi="Arial"/>
          <w:sz w:val="19"/>
        </w:rPr>
        <w:t xml:space="preserve">, 2026 </w:t>
      </w:r>
    </w:p>
    <w:p>
      <w:pPr>
        <w:pStyle w:val="TextBody"/>
        <w:bidi w:val="0"/>
        <w:spacing w:before="1200" w:after="0"/>
        <w:jc w:val="left"/>
        <w:rPr>
          <w:rFonts w:ascii="Arial" w:hAnsi="Arial"/>
          <w:sz w:val="19"/>
        </w:rPr>
      </w:pPr>
      <w:r>
        <w:rPr>
          <w:rFonts w:ascii="Arial" w:hAnsi="Arial"/>
          <w:sz w:val="19"/>
        </w:rPr>
        <w:t xml:space="preserve">Through and including    , 2026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PART II </w:t>
      </w:r>
    </w:p>
    <w:p>
      <w:pPr>
        <w:pStyle w:val="TextBody"/>
        <w:bidi w:val="0"/>
        <w:spacing w:before="120" w:after="0"/>
        <w:jc w:val="center"/>
        <w:rPr>
          <w:rFonts w:ascii="Arial" w:hAnsi="Arial"/>
          <w:b/>
          <w:sz w:val="20"/>
        </w:rPr>
      </w:pPr>
      <w:r>
        <w:rPr>
          <w:rFonts w:ascii="Arial" w:hAnsi="Arial"/>
          <w:b/>
          <w:sz w:val="20"/>
        </w:rPr>
        <w:t xml:space="preserve">INFORMATION NOT REQUIRED IN PROSPECTUS </w:t>
      </w:r>
    </w:p>
    <w:p>
      <w:pPr>
        <w:pStyle w:val="TextBody"/>
        <w:bidi w:val="0"/>
        <w:spacing w:before="360" w:after="0"/>
        <w:jc w:val="left"/>
        <w:rPr>
          <w:rFonts w:ascii="Arial" w:hAnsi="Arial"/>
          <w:b/>
          <w:sz w:val="20"/>
        </w:rPr>
      </w:pPr>
      <w:r>
        <w:rPr>
          <w:rFonts w:ascii="Arial" w:hAnsi="Arial"/>
          <w:b/>
          <w:sz w:val="20"/>
        </w:rPr>
        <w:t xml:space="preserve">Item 13. Other Expenses of Issuance and Distribution. </w:t>
      </w:r>
    </w:p>
    <w:p>
      <w:pPr>
        <w:pStyle w:val="TextBody"/>
        <w:bidi w:val="0"/>
        <w:spacing w:before="120" w:after="0"/>
        <w:jc w:val="left"/>
        <w:rPr>
          <w:rFonts w:ascii="Arial" w:hAnsi="Arial"/>
          <w:sz w:val="19"/>
        </w:rPr>
      </w:pPr>
      <w:r>
        <w:rPr>
          <w:rFonts w:ascii="Arial" w:hAnsi="Arial"/>
          <w:sz w:val="19"/>
        </w:rPr>
        <w:t xml:space="preserve">The following table indicates the expenses to be incurred in connection with the offering described in this registration statement, other than underwriting discounts and commissions, all of which will be paid by us. All amounts are estimated except the U.S. Securities and Exchange Commission (SEC) registration fee, the Financial Industry Regulatory Authority, Inc. (FINRA) filing fee, and the exchange listing fee.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1"/>
        <w:gridCol w:w="658"/>
        <w:gridCol w:w="679"/>
        <w:gridCol w:w="1673"/>
        <w:gridCol w:w="204"/>
      </w:tblGrid>
      <w:tr>
        <w:trPr/>
        <w:tc>
          <w:tcPr>
            <w:tcW w:w="6991" w:type="dxa"/>
            <w:tcBorders/>
            <w:vAlign w:val="center"/>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991"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2352" w:type="dxa"/>
            <w:gridSpan w:val="2"/>
            <w:tcBorders>
              <w:bottom w:val="single" w:sz="2" w:space="0" w:color="000000"/>
            </w:tcBorders>
            <w:tcMar>
              <w:bottom w:w="28" w:type="dxa"/>
            </w:tcMar>
            <w:vAlign w:val="bottom"/>
          </w:tcPr>
          <w:p>
            <w:pPr>
              <w:pStyle w:val="TableContents"/>
              <w:bidi w:val="0"/>
              <w:spacing w:before="0" w:after="283"/>
              <w:jc w:val="center"/>
              <w:rPr/>
            </w:pPr>
            <w:r>
              <w:rPr>
                <w:b/>
              </w:rPr>
              <w:t>AMOUNT PAID OR</w:t>
            </w:r>
            <w:r>
              <w:rPr/>
              <w:br/>
            </w:r>
            <w:r>
              <w:rPr>
                <w:b/>
              </w:rPr>
              <w:t>TO BE PAID</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SEC registration fee</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FINRA filing fee</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Nasdaq Global Select Market listing fee</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Accountants’ fees and expenses</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Legal fees and expenses</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Transfer agent’s fees and expenses</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Printing and engraving expenses</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6991" w:type="dxa"/>
            <w:tcBorders/>
          </w:tcPr>
          <w:p>
            <w:pPr>
              <w:pStyle w:val="TableContents"/>
              <w:bidi w:val="0"/>
              <w:spacing w:before="0" w:after="0"/>
              <w:jc w:val="left"/>
              <w:rPr>
                <w:rFonts w:ascii="Arial" w:hAnsi="Arial"/>
                <w:sz w:val="19"/>
              </w:rPr>
            </w:pPr>
            <w:r>
              <w:rPr>
                <w:rFonts w:ascii="Arial" w:hAnsi="Arial"/>
                <w:sz w:val="19"/>
              </w:rPr>
              <w:t>Miscellaneous</w:t>
            </w:r>
          </w:p>
        </w:tc>
        <w:tc>
          <w:tcPr>
            <w:tcW w:w="658"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16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6991" w:type="dxa"/>
            <w:tcBorders/>
            <w:shd w:fill="CCEEFF" w:val="clear"/>
          </w:tcPr>
          <w:p>
            <w:pPr>
              <w:pStyle w:val="TableContents"/>
              <w:bidi w:val="0"/>
              <w:spacing w:before="0" w:after="0"/>
              <w:jc w:val="left"/>
              <w:rPr>
                <w:rFonts w:ascii="Arial" w:hAnsi="Arial"/>
                <w:sz w:val="19"/>
              </w:rPr>
            </w:pPr>
            <w:r>
              <w:rPr>
                <w:rFonts w:ascii="Arial" w:hAnsi="Arial"/>
                <w:sz w:val="19"/>
              </w:rPr>
              <w:t>Total expenses</w:t>
            </w:r>
          </w:p>
        </w:tc>
        <w:tc>
          <w:tcPr>
            <w:tcW w:w="658"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w:t>
            </w:r>
          </w:p>
        </w:tc>
        <w:tc>
          <w:tcPr>
            <w:tcW w:w="1673"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be provided by amendment. </w:t>
            </w:r>
          </w:p>
        </w:tc>
      </w:tr>
    </w:tbl>
    <w:p>
      <w:pPr>
        <w:pStyle w:val="TextBody"/>
        <w:bidi w:val="0"/>
        <w:spacing w:before="240" w:after="0"/>
        <w:jc w:val="left"/>
        <w:rPr>
          <w:rFonts w:ascii="Arial" w:hAnsi="Arial"/>
          <w:b/>
          <w:sz w:val="20"/>
        </w:rPr>
      </w:pPr>
      <w:r>
        <w:rPr>
          <w:rFonts w:ascii="Arial" w:hAnsi="Arial"/>
          <w:b/>
          <w:sz w:val="20"/>
        </w:rPr>
        <w:t xml:space="preserve">Item 14. Indemnification of Directors and Officers. </w:t>
      </w:r>
    </w:p>
    <w:p>
      <w:pPr>
        <w:pStyle w:val="TextBody"/>
        <w:bidi w:val="0"/>
        <w:spacing w:before="80" w:after="0"/>
        <w:jc w:val="left"/>
        <w:rPr>
          <w:rFonts w:ascii="Arial" w:hAnsi="Arial"/>
          <w:sz w:val="19"/>
        </w:rPr>
      </w:pPr>
      <w:r>
        <w:rPr>
          <w:rFonts w:ascii="Arial" w:hAnsi="Arial"/>
          <w:sz w:val="19"/>
        </w:rPr>
        <w:t xml:space="preserve">As permitted by Sections 102 and 145 of the General Corporation Law of the State of Delaware (DGCL), we have adopted provisions in our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Arial" w:hAnsi="Arial"/>
                <w:sz w:val="19"/>
              </w:rPr>
            </w:pPr>
            <w:r>
              <w:rPr>
                <w:rFonts w:ascii="Arial" w:hAnsi="Arial"/>
                <w:sz w:val="19"/>
              </w:rPr>
              <w:t xml:space="preserve">any act related to unlawful stock repurchases, redemptions, or other distributions or payment of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Arial" w:hAnsi="Arial"/>
                <w:sz w:val="19"/>
              </w:rPr>
            </w:pPr>
            <w:r>
              <w:rPr>
                <w:rFonts w:ascii="Arial" w:hAnsi="Arial"/>
                <w:sz w:val="19"/>
              </w:rPr>
              <w:t xml:space="preserve">any transaction from which the director derived an improper personal benefit. </w:t>
            </w:r>
          </w:p>
        </w:tc>
      </w:tr>
    </w:tbl>
    <w:p>
      <w:pPr>
        <w:pStyle w:val="TextBody"/>
        <w:bidi w:val="0"/>
        <w:spacing w:before="180" w:after="0"/>
        <w:jc w:val="left"/>
        <w:rPr>
          <w:rFonts w:ascii="Arial" w:hAnsi="Arial"/>
          <w:sz w:val="19"/>
        </w:rPr>
      </w:pPr>
      <w:r>
        <w:rPr>
          <w:rFonts w:ascii="Arial" w:hAnsi="Arial"/>
          <w:sz w:val="19"/>
        </w:rPr>
        <w:t xml:space="preserve">These limitations of liability do not affect the availability of equitable remedies such as injunctive relief or rescission. Our certificate of incorporation also authorizes us to indemnify our officers, directors, and other agents to the fullest extent permitted under Delaware law. </w:t>
      </w:r>
    </w:p>
    <w:p>
      <w:pPr>
        <w:pStyle w:val="TextBody"/>
        <w:bidi w:val="0"/>
        <w:spacing w:before="180" w:after="0"/>
        <w:jc w:val="left"/>
        <w:rPr>
          <w:rFonts w:ascii="Arial" w:hAnsi="Arial"/>
          <w:sz w:val="19"/>
        </w:rPr>
      </w:pPr>
      <w:r>
        <w:rPr>
          <w:rFonts w:ascii="Arial" w:hAnsi="Arial"/>
          <w:sz w:val="19"/>
        </w:rPr>
        <w:t xml:space="preserve">As permitted by Section 145 of the DGCL, our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we may indemnify our directors, officers, employees, and other agents to the fullest extent permitted by the DGCL,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Arial" w:hAnsi="Arial"/>
                <w:sz w:val="19"/>
              </w:rPr>
            </w:pPr>
            <w:r>
              <w:rPr>
                <w:rFonts w:ascii="Arial" w:hAnsi="Arial"/>
                <w:sz w:val="19"/>
              </w:rPr>
              <w:t xml:space="preserve">we may advance expenses to our directors, officers, and employees in connection with a legal proceeding, subject to limited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Arial" w:hAnsi="Arial"/>
                <w:sz w:val="19"/>
              </w:rPr>
            </w:pPr>
            <w:r>
              <w:rPr>
                <w:rFonts w:ascii="Arial" w:hAnsi="Arial"/>
                <w:sz w:val="19"/>
              </w:rPr>
              <w:t xml:space="preserve">the rights provided in our bylaws are not exclusive. </w:t>
            </w:r>
          </w:p>
        </w:tc>
      </w:tr>
    </w:tbl>
    <w:p>
      <w:pPr>
        <w:pStyle w:val="TextBody"/>
        <w:bidi w:val="0"/>
        <w:spacing w:before="180" w:after="0"/>
        <w:jc w:val="left"/>
        <w:rPr>
          <w:rFonts w:ascii="Arial" w:hAnsi="Arial"/>
          <w:sz w:val="19"/>
        </w:rPr>
      </w:pPr>
      <w:r>
        <w:rPr>
          <w:rFonts w:ascii="Arial" w:hAnsi="Arial"/>
          <w:sz w:val="19"/>
        </w:rPr>
        <w:t xml:space="preserve">Our certificate of incorporation and our bylaws provide for the indemnification provisions described above and elsewhere herein. We have entered or will enter into, and intend to continue to enter into, separate indemnification agreements with our directors and officers that may be broader than the specific indemnification provisions contained in the DGCL. These indemnification agreements generally require us, among other things, to indemnify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(Securities Act). </w:t>
      </w:r>
    </w:p>
    <w:p>
      <w:pPr>
        <w:pStyle w:val="TextBody"/>
        <w:bidi w:val="0"/>
        <w:spacing w:before="180" w:after="0"/>
        <w:jc w:val="left"/>
        <w:rPr>
          <w:rFonts w:ascii="Arial" w:hAnsi="Arial"/>
          <w:sz w:val="19"/>
        </w:rPr>
      </w:pPr>
      <w:r>
        <w:rPr>
          <w:rFonts w:ascii="Arial" w:hAnsi="Arial"/>
          <w:sz w:val="19"/>
        </w:rPr>
        <w:t xml:space="preserve">We have purchased and currently intend to maintain insurance on behalf of each and every person who is one of our directors or officers, within the limits and subject to the terms and conditions thereof, against any loss arising from any claim asserted against him or her and incurred by him or her in any such capacity, subject to certain exclusions. </w:t>
      </w:r>
    </w:p>
    <w:p>
      <w:pPr>
        <w:pStyle w:val="TextBody"/>
        <w:bidi w:val="0"/>
        <w:spacing w:before="180" w:after="0"/>
        <w:jc w:val="left"/>
        <w:rPr>
          <w:rFonts w:ascii="Arial" w:hAnsi="Arial"/>
          <w:sz w:val="19"/>
        </w:rPr>
      </w:pPr>
      <w:r>
        <w:rPr>
          <w:rFonts w:ascii="Arial" w:hAnsi="Arial"/>
          <w:sz w:val="19"/>
        </w:rPr>
        <w:t xml:space="preserve">The form of underwriting agreement to be entered into in connection with this initial public offering provides for indemnification by the underwriters of us and our officers and directors who sign this registration statement for specified liabilities, including matters arising under the Securities Act. </w:t>
      </w:r>
    </w:p>
    <w:p>
      <w:pPr>
        <w:pStyle w:val="TextBody"/>
        <w:bidi w:val="0"/>
        <w:spacing w:before="240" w:after="0"/>
        <w:jc w:val="left"/>
        <w:rPr>
          <w:rFonts w:ascii="Arial" w:hAnsi="Arial"/>
          <w:b/>
          <w:sz w:val="20"/>
        </w:rPr>
      </w:pPr>
      <w:r>
        <w:rPr>
          <w:rFonts w:ascii="Arial" w:hAnsi="Arial"/>
          <w:b/>
          <w:sz w:val="20"/>
        </w:rPr>
        <w:t xml:space="preserve">Item 15. Recent Sales of Unregistered Securities. </w:t>
      </w:r>
    </w:p>
    <w:p>
      <w:pPr>
        <w:pStyle w:val="TextBody"/>
        <w:bidi w:val="0"/>
        <w:spacing w:before="80" w:after="0"/>
        <w:jc w:val="left"/>
        <w:rPr>
          <w:rFonts w:ascii="Arial" w:hAnsi="Arial"/>
          <w:sz w:val="19"/>
        </w:rPr>
      </w:pPr>
      <w:r>
        <w:rPr>
          <w:rFonts w:ascii="Arial" w:hAnsi="Arial"/>
          <w:sz w:val="19"/>
        </w:rPr>
        <w:t xml:space="preserve">Set forth below is information regarding unregistered securities issued by us since January 1, 2023 to the date of this registration statement. Also included is the consideration received by us for such securities and information relating to the section of the Securities Act, or rule of the SEC, under which exemption from registration was claimed.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March 2025, we issued and sold convertible promissory notes to investors in the aggregate principal amount of $20.0 million. In October 2025, these notes converted into 3,097,850 shares of our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June 2025, we issued and sold additional convertible promissory notes to investors in the aggregate principal amount of $20.0 million. In October 2025, these notes converted into 3,023,375 shares of our Series C redeemable convertible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October 2025, we issued and sold to investors an aggregate of 19,824,535 shares of our Series C redeemable convertible preferred stock, at a purchase price of $6.7688 per share for aggregate proceeds of approximately $132.8 million from cash and the conversion of the outstanding convertible promissory notes in paragraphs (1) and (2) above and accrued interest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9"/>
              </w:rPr>
            </w:pPr>
            <w:r>
              <w:rPr>
                <w:rFonts w:ascii="Arial" w:hAnsi="Arial"/>
                <w:sz w:val="19"/>
              </w:rPr>
              <w:t xml:space="preserve">In June 2026, we issued and sold to investors an aggregate of 7,378,708 shares of our Series C redeemable convertible preferred stock, at a purchase price of $6.7688 per share for aggregate cash proceeds of approximately $49.9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Arial" w:hAnsi="Arial"/>
                <w:sz w:val="19"/>
              </w:rPr>
            </w:pPr>
            <w:r>
              <w:rPr>
                <w:rFonts w:ascii="Arial" w:hAnsi="Arial"/>
                <w:sz w:val="19"/>
              </w:rPr>
              <w:t xml:space="preserve">From January 2023 through the date of this registration statement, we granted under our 2022 Stock Plan (2022 Plan) stock options to purchase an aggregate of    shares of our common stock at a weighted-average exercise price of $    per share. From January 2023 through the date of this registration statement, we have issued an aggregate of    shares of our common stock upon exercise of stock options for an approximate aggregate consideration of $    million. </w:t>
            </w:r>
          </w:p>
        </w:tc>
      </w:tr>
    </w:tbl>
    <w:p>
      <w:pPr>
        <w:pStyle w:val="TextBody"/>
        <w:bidi w:val="0"/>
        <w:spacing w:before="180" w:after="0"/>
        <w:jc w:val="left"/>
        <w:rPr>
          <w:rFonts w:ascii="Arial" w:hAnsi="Arial"/>
          <w:sz w:val="19"/>
        </w:rPr>
      </w:pPr>
      <w:r>
        <w:rPr>
          <w:rFonts w:ascii="Arial" w:hAnsi="Arial"/>
          <w:sz w:val="19"/>
        </w:rPr>
        <w:t xml:space="preserve">The offers, sales, and issuances of the securities described in paragraphs (1) through (4) were deemed to be exempt from registration under the Securities Act in reliance on Section 4(a)(2) of the Securities Act (or Regulation D promulgated thereunder). The recipients of securities in these transactions acquired the securities for investment only and not with a view to or for sale in connection with any distribution thereof and appropriate legends were affixed to the securities issued in such transaction. </w:t>
      </w:r>
    </w:p>
    <w:p>
      <w:pPr>
        <w:pStyle w:val="TextBody"/>
        <w:bidi w:val="0"/>
        <w:spacing w:before="180" w:after="0"/>
        <w:jc w:val="left"/>
        <w:rPr>
          <w:rFonts w:ascii="Arial" w:hAnsi="Arial"/>
          <w:sz w:val="19"/>
        </w:rPr>
      </w:pPr>
      <w:r>
        <w:rPr>
          <w:rFonts w:ascii="Arial" w:hAnsi="Arial"/>
          <w:sz w:val="19"/>
        </w:rPr>
        <w:t xml:space="preserve">Each of the recipients of securities in these transactions was able to bear the investment’s economic risk and had access to the type of information normally provided in a prospectus for a registered securities offering. </w:t>
      </w:r>
    </w:p>
    <w:p>
      <w:pPr>
        <w:pStyle w:val="TextBody"/>
        <w:bidi w:val="0"/>
        <w:spacing w:before="180" w:after="0"/>
        <w:jc w:val="left"/>
        <w:rPr>
          <w:rFonts w:ascii="Arial" w:hAnsi="Arial"/>
          <w:sz w:val="19"/>
        </w:rPr>
      </w:pPr>
      <w:r>
        <w:rPr>
          <w:rFonts w:ascii="Arial" w:hAnsi="Arial"/>
          <w:sz w:val="19"/>
        </w:rPr>
        <w:t xml:space="preserve">The offers, sales, and issuances of the securities described in paragraph (5) were deemed to be exempt from registration under the Securities Act in reliance on Rule 701 in that the transactions were under compensatory benefit plans and contracts relating to compensation as provided under Rule 701 or in reliance on Section 4(a)(2). The recipients of such securities were our employees, directors or bona fide consultants and received the securities under our 2022 Plan. </w:t>
      </w:r>
    </w:p>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19"/>
        </w:rPr>
      </w:pPr>
      <w:r>
        <w:rPr>
          <w:rFonts w:ascii="Arial" w:hAnsi="Arial"/>
          <w:sz w:val="19"/>
        </w:rPr>
        <w:t xml:space="preserve">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 </w:t>
      </w:r>
    </w:p>
    <w:p>
      <w:pPr>
        <w:pStyle w:val="TextBody"/>
        <w:bidi w:val="0"/>
        <w:spacing w:before="240" w:after="0"/>
        <w:jc w:val="left"/>
        <w:rPr>
          <w:rFonts w:ascii="Arial" w:hAnsi="Arial"/>
          <w:b/>
          <w:sz w:val="20"/>
        </w:rPr>
      </w:pPr>
      <w:r>
        <w:rPr>
          <w:rFonts w:ascii="Arial" w:hAnsi="Arial"/>
          <w:b/>
          <w:sz w:val="20"/>
        </w:rPr>
        <w:t xml:space="preserve">Item 16. Exhibits and Financial Statement Schedules. </w:t>
      </w:r>
    </w:p>
    <w:p>
      <w:pPr>
        <w:pStyle w:val="TextBody"/>
        <w:bidi w:val="0"/>
        <w:spacing w:before="80" w:after="0"/>
        <w:jc w:val="left"/>
        <w:rPr>
          <w:rFonts w:ascii="Arial" w:hAnsi="Arial"/>
          <w:b/>
          <w:i/>
          <w:sz w:val="19"/>
        </w:rPr>
      </w:pPr>
      <w:r>
        <w:rPr>
          <w:rFonts w:ascii="Arial" w:hAnsi="Arial"/>
          <w:b/>
          <w:i/>
          <w:sz w:val="19"/>
        </w:rPr>
        <w:t xml:space="preserve">(a) Exhibits.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3"/>
        <w:gridCol w:w="453"/>
        <w:gridCol w:w="8609"/>
      </w:tblGrid>
      <w:tr>
        <w:trPr/>
        <w:tc>
          <w:tcPr>
            <w:tcW w:w="1143"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8609" w:type="dxa"/>
            <w:tcBorders/>
            <w:vAlign w:val="center"/>
          </w:tcPr>
          <w:p>
            <w:pPr>
              <w:pStyle w:val="TableContents"/>
              <w:bidi w:val="0"/>
              <w:spacing w:before="0" w:after="283"/>
              <w:jc w:val="left"/>
              <w:rPr>
                <w:sz w:val="4"/>
                <w:szCs w:val="4"/>
              </w:rPr>
            </w:pPr>
            <w:r>
              <w:rPr>
                <w:sz w:val="4"/>
                <w:szCs w:val="4"/>
              </w:rPr>
            </w:r>
          </w:p>
        </w:tc>
      </w:tr>
      <w:tr>
        <w:trPr/>
        <w:tc>
          <w:tcPr>
            <w:tcW w:w="1143" w:type="dxa"/>
            <w:tcBorders>
              <w:bottom w:val="single" w:sz="2" w:space="0" w:color="000000"/>
            </w:tcBorders>
            <w:tcMar>
              <w:bottom w:w="28" w:type="dxa"/>
            </w:tcMar>
            <w:vAlign w:val="bottom"/>
          </w:tcPr>
          <w:p>
            <w:pPr>
              <w:pStyle w:val="TableContents"/>
              <w:bidi w:val="0"/>
              <w:spacing w:before="0" w:after="283"/>
              <w:jc w:val="center"/>
              <w:rPr>
                <w:b/>
              </w:rPr>
            </w:pPr>
            <w:r>
              <w:rPr>
                <w:b/>
              </w:rPr>
              <w:t>EXHIBIT</w:t>
              <w:br/>
              <w:t>NUMBER</w:t>
            </w:r>
          </w:p>
        </w:tc>
        <w:tc>
          <w:tcPr>
            <w:tcW w:w="453" w:type="dxa"/>
            <w:tcBorders/>
            <w:vAlign w:val="bottom"/>
          </w:tcPr>
          <w:p>
            <w:pPr>
              <w:pStyle w:val="TableContents"/>
              <w:bidi w:val="0"/>
              <w:spacing w:before="0" w:after="283"/>
              <w:jc w:val="left"/>
              <w:rPr/>
            </w:pPr>
            <w:r>
              <w:rPr/>
              <w:t> </w:t>
            </w:r>
          </w:p>
        </w:tc>
        <w:tc>
          <w:tcPr>
            <w:tcW w:w="8609"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DESCRIPTION OF EXHIBIT</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1.1+</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 of Underwriting Agreement.</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3.1^^</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Certificate of Incorporation, as currently in effect.</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3.2+</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 of Amended and Restated Certificate of Incorporation, to be effective upon the closing of this offering.</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3.3^^</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Bylaws, as currently in effect.</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3.4+</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 of Amended and Restated Bylaws, to be effective upon the closing of this offering.</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4.1+</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 of Common Stock Certificate.</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4.2^^</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Investors’ Rights Agreement, dated October 15, 2025, by and among the Registrant and the investors named therein.</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pPr>
            <w:r>
              <w:rPr/>
              <w:t> </w:t>
            </w:r>
            <w:r>
              <w:rPr>
                <w:sz w:val="20"/>
              </w:rPr>
              <w:t>5.1+</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Opinion of Cooley LLP.</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10.1+</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 of Indemnification Agreement, by and between the Registrant and each of its directors and executive officers.</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10.2*+</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Electra Therapeutics, Inc. 2026 Equity Incentive Plan.</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10.3*+</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Forms of Stock Option Grant Notice, Option Agreement and Notice of Exercise under the Electra Therapeutics, Inc. 2026 Equity Incentive Plan.</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10.4*+</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Forms of Restricted Stock Unit Grant Notice and Award Agreement under the Electra Therapeutics, Inc. 2026 Equity Incentive Plan.</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10.5*+</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Electra Therapeutics, Inc. 2026 Employee Stock Purchase Plan.</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10.6*^^</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Electra Therapeutics, Inc. 2022 Stock Plan, as amended.</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10.7*^^</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Forms of Option Notice Agreement, Option Exercise Agreement and Early Exercise Stock Purchase Agreement under Electra Therapeutics, Inc. 2022 Stock Plan.</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10.8*+</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Non-Employee Director Compensation Policy.</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10.9*+</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Executive Employment Agreement, by and between the Registrant and Chris Clark, C.F.A. dated     , 2026.</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10.10*+</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Executive Employment Agreement, by and between the Registrant and Quehuong (Kathy) Dong, Pharm.D., M.B.A., dated     , 2026.</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10.11*+</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Executive Employment Agreement, by and between the Registrant and Kim-Hien Dao, D.O., Ph.D., dated     , 2026.</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10.12*+</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Executive Employment Agreement, by and between the Registrant and Gary S. Koe, Ph.D., dated     , 2026.</w:t>
            </w:r>
          </w:p>
        </w:tc>
      </w:tr>
      <w:tr>
        <w:trPr>
          <w:trHeight w:val="120" w:hRule="atLeast"/>
        </w:trPr>
        <w:tc>
          <w:tcPr>
            <w:tcW w:w="1143" w:type="dxa"/>
            <w:tcBorders/>
            <w:vAlign w:val="center"/>
          </w:tcPr>
          <w:p>
            <w:pPr>
              <w:pStyle w:val="TableContents"/>
              <w:bidi w:val="0"/>
              <w:spacing w:before="0" w:after="283"/>
              <w:jc w:val="left"/>
              <w:rPr>
                <w:sz w:val="4"/>
                <w:szCs w:val="4"/>
              </w:rPr>
            </w:pPr>
            <w:r>
              <w:rPr>
                <w:sz w:val="4"/>
                <w:szCs w:val="4"/>
              </w:rPr>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tcPr>
          <w:p>
            <w:pPr>
              <w:pStyle w:val="TableContents"/>
              <w:bidi w:val="0"/>
              <w:spacing w:before="0" w:after="283"/>
              <w:jc w:val="left"/>
              <w:rPr>
                <w:sz w:val="20"/>
              </w:rPr>
            </w:pPr>
            <w:r>
              <w:rPr>
                <w:sz w:val="20"/>
              </w:rPr>
              <w:t>10.13*+</w:t>
            </w:r>
          </w:p>
        </w:tc>
        <w:tc>
          <w:tcPr>
            <w:tcW w:w="453" w:type="dxa"/>
            <w:tcBorders/>
            <w:vAlign w:val="bottom"/>
          </w:tcPr>
          <w:p>
            <w:pPr>
              <w:pStyle w:val="TableContents"/>
              <w:bidi w:val="0"/>
              <w:spacing w:before="0" w:after="283"/>
              <w:jc w:val="left"/>
              <w:rPr/>
            </w:pPr>
            <w:r>
              <w:rPr/>
              <w:t> </w:t>
            </w:r>
          </w:p>
        </w:tc>
        <w:tc>
          <w:tcPr>
            <w:tcW w:w="8609" w:type="dxa"/>
            <w:tcBorders/>
          </w:tcPr>
          <w:p>
            <w:pPr>
              <w:pStyle w:val="TableContents"/>
              <w:bidi w:val="0"/>
              <w:spacing w:before="0" w:after="283"/>
              <w:jc w:val="left"/>
              <w:rPr/>
            </w:pPr>
            <w:r>
              <w:rPr/>
              <w:t>Amended and Restated Executive Employment Agreement, by and between the Registrant and Graham Parry, Ph.D., dated     , 2026.</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131"/>
        <w:gridCol w:w="541"/>
        <w:gridCol w:w="8533"/>
      </w:tblGrid>
      <w:tr>
        <w:trPr/>
        <w:tc>
          <w:tcPr>
            <w:tcW w:w="1131" w:type="dxa"/>
            <w:tcBorders/>
            <w:vAlign w:val="center"/>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8533" w:type="dxa"/>
            <w:tcBorders/>
            <w:vAlign w:val="center"/>
          </w:tcPr>
          <w:p>
            <w:pPr>
              <w:pStyle w:val="TableContents"/>
              <w:bidi w:val="0"/>
              <w:spacing w:before="0" w:after="283"/>
              <w:jc w:val="left"/>
              <w:rPr>
                <w:sz w:val="4"/>
                <w:szCs w:val="4"/>
              </w:rPr>
            </w:pPr>
            <w:r>
              <w:rPr>
                <w:sz w:val="4"/>
                <w:szCs w:val="4"/>
              </w:rPr>
            </w:r>
          </w:p>
        </w:tc>
      </w:tr>
      <w:tr>
        <w:trPr/>
        <w:tc>
          <w:tcPr>
            <w:tcW w:w="1131" w:type="dxa"/>
            <w:tcBorders>
              <w:bottom w:val="single" w:sz="2" w:space="0" w:color="000000"/>
            </w:tcBorders>
            <w:tcMar>
              <w:bottom w:w="28" w:type="dxa"/>
            </w:tcMar>
            <w:vAlign w:val="bottom"/>
          </w:tcPr>
          <w:p>
            <w:pPr>
              <w:pStyle w:val="TableContents"/>
              <w:bidi w:val="0"/>
              <w:spacing w:before="0" w:after="283"/>
              <w:jc w:val="center"/>
              <w:rPr>
                <w:b/>
              </w:rPr>
            </w:pPr>
            <w:r>
              <w:rPr>
                <w:b/>
              </w:rPr>
              <w:t>EXHIBIT</w:t>
              <w:br/>
              <w:t>NUMBER</w:t>
            </w:r>
          </w:p>
        </w:tc>
        <w:tc>
          <w:tcPr>
            <w:tcW w:w="541" w:type="dxa"/>
            <w:tcBorders/>
            <w:vAlign w:val="bottom"/>
          </w:tcPr>
          <w:p>
            <w:pPr>
              <w:pStyle w:val="TableContents"/>
              <w:bidi w:val="0"/>
              <w:spacing w:before="0" w:after="283"/>
              <w:jc w:val="left"/>
              <w:rPr/>
            </w:pPr>
            <w:r>
              <w:rPr/>
              <w:t> </w:t>
            </w:r>
          </w:p>
        </w:tc>
        <w:tc>
          <w:tcPr>
            <w:tcW w:w="8533" w:type="dxa"/>
            <w:tcBorders>
              <w:bottom w:val="single" w:sz="2"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DESCRIPTION OF EXHIBIT</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10.14*+</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Electra Therapeutics, Inc. Severance Plan.</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23.1+</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Consent of Ernst &amp; Young LLP, independent registered public accounting firm.</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23.2+</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Consent of Cooley LLP (included in Exhibit 5.1).</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24.1+</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Power of Attorney.</w:t>
            </w:r>
          </w:p>
        </w:tc>
      </w:tr>
      <w:tr>
        <w:trPr>
          <w:trHeight w:val="120" w:hRule="atLeast"/>
        </w:trPr>
        <w:tc>
          <w:tcPr>
            <w:tcW w:w="1131" w:type="dxa"/>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tcPr>
          <w:p>
            <w:pPr>
              <w:pStyle w:val="TableContents"/>
              <w:bidi w:val="0"/>
              <w:spacing w:before="0" w:after="283"/>
              <w:jc w:val="left"/>
              <w:rPr>
                <w:sz w:val="20"/>
              </w:rPr>
            </w:pPr>
            <w:r>
              <w:rPr>
                <w:sz w:val="20"/>
              </w:rPr>
              <w:t>107+</w:t>
            </w:r>
          </w:p>
        </w:tc>
        <w:tc>
          <w:tcPr>
            <w:tcW w:w="541" w:type="dxa"/>
            <w:tcBorders/>
            <w:vAlign w:val="bottom"/>
          </w:tcPr>
          <w:p>
            <w:pPr>
              <w:pStyle w:val="TableContents"/>
              <w:bidi w:val="0"/>
              <w:spacing w:before="0" w:after="283"/>
              <w:jc w:val="left"/>
              <w:rPr/>
            </w:pPr>
            <w:r>
              <w:rPr/>
              <w:t> </w:t>
            </w:r>
          </w:p>
        </w:tc>
        <w:tc>
          <w:tcPr>
            <w:tcW w:w="8533" w:type="dxa"/>
            <w:tcBorders/>
          </w:tcPr>
          <w:p>
            <w:pPr>
              <w:pStyle w:val="TableContents"/>
              <w:bidi w:val="0"/>
              <w:spacing w:before="0" w:after="283"/>
              <w:jc w:val="left"/>
              <w:rPr/>
            </w:pPr>
            <w:r>
              <w:rPr/>
              <w:t>Filing Fee Table.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Indicates a management contract or any compensatory plan, contract or arrangement.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Pursuant to Item 601(b)(10)(iv) of Regulation S-K promulgated by the SEC, certain portions of this exhibit have been redacted because they are both not material and are the type that the Registrant treats as private or confidential. The Registrant hereby agrees to furnish supplementally to the SEC, upon its request, an unredacted copy of this exhibit.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righ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Certain schedules or exhibits to this exhibit have been omitted pursuant to Item 601(a)(5) of Regulation S-K. A copy of any omitted schedule and/or exhibit will be furnished to the SEC upon request. </w:t>
            </w:r>
          </w:p>
        </w:tc>
      </w:tr>
    </w:tbl>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righ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Previously filed. </w:t>
            </w:r>
          </w:p>
        </w:tc>
      </w:tr>
    </w:tbl>
    <w:p>
      <w:pPr>
        <w:pStyle w:val="TextBody"/>
        <w:bidi w:val="0"/>
        <w:spacing w:before="80" w:after="0"/>
        <w:jc w:val="left"/>
        <w:rPr>
          <w:rFonts w:ascii="Arial" w:hAnsi="Arial"/>
          <w:b/>
          <w:i/>
          <w:sz w:val="19"/>
        </w:rPr>
      </w:pPr>
      <w:r>
        <w:rPr>
          <w:rFonts w:ascii="Arial" w:hAnsi="Arial"/>
          <w:b/>
          <w:i/>
          <w:sz w:val="19"/>
        </w:rPr>
        <w:t xml:space="preserve">(b) Financial Statement Schedules. </w:t>
      </w:r>
    </w:p>
    <w:p>
      <w:pPr>
        <w:pStyle w:val="TextBody"/>
        <w:bidi w:val="0"/>
        <w:spacing w:before="40" w:after="0"/>
        <w:jc w:val="left"/>
        <w:rPr>
          <w:rFonts w:ascii="Arial" w:hAnsi="Arial"/>
          <w:sz w:val="19"/>
        </w:rPr>
      </w:pPr>
      <w:r>
        <w:rPr>
          <w:rFonts w:ascii="Arial" w:hAnsi="Arial"/>
          <w:sz w:val="19"/>
        </w:rPr>
        <w:t xml:space="preserve">All financial statement schedules are omitted because the information required to be set forth therein is not applicable or is shown in the financial statements or the notes thereto. </w:t>
      </w:r>
    </w:p>
    <w:p>
      <w:pPr>
        <w:pStyle w:val="TextBody"/>
        <w:bidi w:val="0"/>
        <w:spacing w:before="240" w:after="0"/>
        <w:jc w:val="left"/>
        <w:rPr>
          <w:rFonts w:ascii="Arial" w:hAnsi="Arial"/>
          <w:b/>
          <w:sz w:val="20"/>
        </w:rPr>
      </w:pPr>
      <w:r>
        <w:rPr>
          <w:rFonts w:ascii="Arial" w:hAnsi="Arial"/>
          <w:b/>
          <w:sz w:val="20"/>
        </w:rPr>
        <w:t xml:space="preserve">Item 17. Undertakings. </w:t>
      </w:r>
    </w:p>
    <w:p>
      <w:pPr>
        <w:pStyle w:val="TextBody"/>
        <w:bidi w:val="0"/>
        <w:spacing w:before="80" w:after="0"/>
        <w:jc w:val="left"/>
        <w:rPr>
          <w:rFonts w:ascii="Arial" w:hAnsi="Arial"/>
          <w:sz w:val="19"/>
        </w:rPr>
      </w:pPr>
      <w:r>
        <w:rPr>
          <w:rFonts w:ascii="Arial" w:hAnsi="Arial"/>
          <w:sz w:val="19"/>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180" w:after="0"/>
        <w:jc w:val="left"/>
        <w:rPr>
          <w:rFonts w:ascii="Arial" w:hAnsi="Arial"/>
          <w:sz w:val="19"/>
        </w:rPr>
      </w:pPr>
      <w:r>
        <w:rPr>
          <w:rFonts w:ascii="Arial" w:hAnsi="Arial"/>
          <w:sz w:val="19"/>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80" w:after="0"/>
        <w:jc w:val="left"/>
        <w:rPr>
          <w:rFonts w:ascii="Arial" w:hAnsi="Arial"/>
          <w:sz w:val="19"/>
        </w:rPr>
      </w:pPr>
      <w:r>
        <w:rPr>
          <w:rFonts w:ascii="Arial" w:hAnsi="Arial"/>
          <w:sz w:val="19"/>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19"/>
              </w:rPr>
            </w:pPr>
            <w:r>
              <w:rPr>
                <w:rFonts w:ascii="Arial" w:hAnsi="Arial"/>
                <w:sz w:val="19"/>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19"/>
              </w:rPr>
            </w:pPr>
            <w:r>
              <w:rPr>
                <w:rFonts w:ascii="Arial" w:hAnsi="Arial"/>
                <w:sz w:val="19"/>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Arial" w:hAnsi="Arial"/>
          <w:sz w:val="18"/>
        </w:rPr>
      </w:pPr>
      <w:r>
        <w:rPr>
          <w:rFonts w:ascii="Arial" w:hAnsi="Arial"/>
          <w:sz w:val="18"/>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360" w:after="0"/>
        <w:jc w:val="left"/>
        <w:rPr>
          <w:rFonts w:ascii="Arial" w:hAnsi="Arial"/>
          <w:sz w:val="19"/>
        </w:rPr>
      </w:pPr>
      <w:r>
        <w:rPr>
          <w:rFonts w:ascii="Arial" w:hAnsi="Arial"/>
          <w:sz w:val="19"/>
        </w:rPr>
        <w:t xml:space="preserve">Pursuant to the requirements of the Securities Act of 1933, as amended, the Registrant has duly caused this registration statement to be signed on its behalf by the undersigned, thereunto duly authorized, in the City of South San Francisco, California, on     ,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0"/>
        <w:gridCol w:w="60"/>
        <w:gridCol w:w="3672"/>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Electra Therapeutics, Inc.</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2"/>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2" w:type="dxa"/>
            <w:tcBorders>
              <w:bottom w:val="single" w:sz="2" w:space="0" w:color="000000"/>
            </w:tcBorders>
            <w:tcMar>
              <w:bottom w:w="28" w:type="dxa"/>
            </w:tcMar>
          </w:tcPr>
          <w:p>
            <w:pPr>
              <w:pStyle w:val="TableContents"/>
              <w:bidi w:val="0"/>
              <w:spacing w:before="0" w:after="283"/>
              <w:jc w:val="left"/>
              <w:rPr/>
            </w:pPr>
            <w:r>
              <w:rPr/>
              <w:t> </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Quehuong (Kathy) Dong, Pharm.D., M.B.A.</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Arial" w:hAnsi="Arial"/>
          <w:b/>
          <w:sz w:val="20"/>
        </w:rPr>
      </w:pPr>
      <w:r>
        <w:rPr>
          <w:rFonts w:ascii="Arial" w:hAnsi="Arial"/>
          <w:b/>
          <w:sz w:val="20"/>
        </w:rPr>
        <w:t xml:space="preserve">POWER OF ATTORNEY </w:t>
      </w:r>
    </w:p>
    <w:p>
      <w:pPr>
        <w:pStyle w:val="TextBody"/>
        <w:bidi w:val="0"/>
        <w:spacing w:before="360" w:after="0"/>
        <w:jc w:val="left"/>
        <w:rPr>
          <w:rFonts w:ascii="Arial" w:hAnsi="Arial"/>
          <w:sz w:val="19"/>
        </w:rPr>
      </w:pPr>
      <w:r>
        <w:rPr>
          <w:rFonts w:ascii="Arial" w:hAnsi="Arial"/>
          <w:sz w:val="19"/>
        </w:rPr>
        <w:t xml:space="preserve">KNOW ALL BY THESE PRESENTS, that each person whose signature appears below constitutes and appoints Quehuong (Kathy) Dong, Pharm.D., M.B.A. and Chris Clark, C.F.A. and each of them, as his or her true and lawful attorneys-in-fact and agents, and each of them,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 </w:t>
      </w:r>
    </w:p>
    <w:p>
      <w:pPr>
        <w:pStyle w:val="TextBody"/>
        <w:bidi w:val="0"/>
        <w:spacing w:before="180" w:after="0"/>
        <w:jc w:val="left"/>
        <w:rPr>
          <w:rFonts w:ascii="Arial" w:hAnsi="Arial"/>
          <w:sz w:val="19"/>
        </w:rPr>
      </w:pPr>
      <w:r>
        <w:rPr>
          <w:rFonts w:ascii="Arial" w:hAnsi="Arial"/>
          <w:sz w:val="19"/>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88"/>
        <w:gridCol w:w="120"/>
        <w:gridCol w:w="4342"/>
        <w:gridCol w:w="106"/>
        <w:gridCol w:w="1949"/>
      </w:tblGrid>
      <w:tr>
        <w:trPr/>
        <w:tc>
          <w:tcPr>
            <w:tcW w:w="36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3688"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SIGNATURE</w:t>
            </w:r>
          </w:p>
        </w:tc>
        <w:tc>
          <w:tcPr>
            <w:tcW w:w="120" w:type="dxa"/>
            <w:tcBorders/>
            <w:vAlign w:val="bottom"/>
          </w:tcPr>
          <w:p>
            <w:pPr>
              <w:pStyle w:val="TableContents"/>
              <w:bidi w:val="0"/>
              <w:spacing w:before="0" w:after="283"/>
              <w:jc w:val="left"/>
              <w:rPr/>
            </w:pPr>
            <w:r>
              <w:rPr/>
              <w:t>  </w:t>
            </w:r>
          </w:p>
        </w:tc>
        <w:tc>
          <w:tcPr>
            <w:tcW w:w="4342"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TITLE</w:t>
            </w:r>
          </w:p>
        </w:tc>
        <w:tc>
          <w:tcPr>
            <w:tcW w:w="106" w:type="dxa"/>
            <w:tcBorders/>
            <w:vAlign w:val="bottom"/>
          </w:tcPr>
          <w:p>
            <w:pPr>
              <w:pStyle w:val="TableContents"/>
              <w:bidi w:val="0"/>
              <w:spacing w:before="0" w:after="283"/>
              <w:jc w:val="left"/>
              <w:rPr/>
            </w:pPr>
            <w:r>
              <w:rPr/>
              <w:t> </w:t>
            </w:r>
          </w:p>
        </w:tc>
        <w:tc>
          <w:tcPr>
            <w:tcW w:w="1949" w:type="dxa"/>
            <w:tcBorders>
              <w:bottom w:val="single" w:sz="2"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DATE</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Quehuong (Kathy) Dong, Pharm.D., M.B.A.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President, Chief Executive Officer and Director</w:t>
              <w:br/>
            </w:r>
            <w:r>
              <w:rPr>
                <w:rFonts w:ascii="Arial" w:hAnsi="Arial"/>
                <w:i/>
                <w:sz w:val="19"/>
              </w:rPr>
              <w:t>(Principal Executive Officer)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Chris Clark, C.F.A.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Chief Financial Officer</w:t>
            </w:r>
          </w:p>
          <w:p>
            <w:pPr>
              <w:pStyle w:val="TableContents"/>
              <w:bidi w:val="0"/>
              <w:spacing w:before="0" w:after="20"/>
              <w:jc w:val="center"/>
              <w:rPr>
                <w:rFonts w:ascii="Arial" w:hAnsi="Arial"/>
                <w:i/>
                <w:sz w:val="19"/>
              </w:rPr>
            </w:pPr>
            <w:r>
              <w:rPr>
                <w:rFonts w:ascii="Arial" w:hAnsi="Arial"/>
                <w:i/>
                <w:sz w:val="19"/>
              </w:rPr>
              <w:t>(Principal Financial Officer)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David J. Tucker</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Senior Vice President, Finance</w:t>
            </w:r>
          </w:p>
          <w:p>
            <w:pPr>
              <w:pStyle w:val="TableContents"/>
              <w:bidi w:val="0"/>
              <w:spacing w:before="0" w:after="20"/>
              <w:jc w:val="center"/>
              <w:rPr>
                <w:rFonts w:ascii="Arial" w:hAnsi="Arial"/>
                <w:i/>
                <w:sz w:val="19"/>
              </w:rPr>
            </w:pPr>
            <w:r>
              <w:rPr>
                <w:rFonts w:ascii="Arial" w:hAnsi="Arial"/>
                <w:i/>
                <w:sz w:val="19"/>
              </w:rPr>
              <w:t>(Principal Accounting Officer)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Nancy Stagliano, Ph.D.</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Chairperson</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Matthew Fust, M.B.A.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Thomas Geninatti, Ph.D.</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Carl L. Gordon, Ph.D., C.F.A.</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r>
        <w:trPr>
          <w:trHeight w:val="240" w:hRule="atLeast"/>
        </w:trPr>
        <w:tc>
          <w:tcPr>
            <w:tcW w:w="3688"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2055" w:type="dxa"/>
            <w:gridSpan w:val="2"/>
            <w:tcBorders/>
            <w:vAlign w:val="center"/>
          </w:tcPr>
          <w:p>
            <w:pPr>
              <w:pStyle w:val="TableContents"/>
              <w:bidi w:val="0"/>
              <w:spacing w:before="0" w:after="283"/>
              <w:jc w:val="left"/>
              <w:rPr>
                <w:sz w:val="4"/>
                <w:szCs w:val="4"/>
              </w:rPr>
            </w:pPr>
            <w:r>
              <w:rPr>
                <w:sz w:val="4"/>
                <w:szCs w:val="4"/>
              </w:rPr>
            </w:r>
          </w:p>
        </w:tc>
      </w:tr>
      <w:tr>
        <w:trPr/>
        <w:tc>
          <w:tcPr>
            <w:tcW w:w="3688" w:type="dxa"/>
            <w:tcBorders/>
          </w:tcPr>
          <w:p>
            <w:pPr>
              <w:pStyle w:val="TableContents"/>
              <w:pBdr>
                <w:bottom w:val="single" w:sz="2" w:space="1" w:color="000000"/>
              </w:pBdr>
              <w:bidi w:val="0"/>
              <w:spacing w:before="0" w:after="0"/>
              <w:jc w:val="center"/>
              <w:rPr/>
            </w:pPr>
            <w:r>
              <w:rPr/>
              <w:t>  </w:t>
            </w:r>
          </w:p>
          <w:p>
            <w:pPr>
              <w:pStyle w:val="TableContents"/>
              <w:bidi w:val="0"/>
              <w:spacing w:before="0" w:after="20"/>
              <w:jc w:val="center"/>
              <w:rPr>
                <w:rFonts w:ascii="Arial" w:hAnsi="Arial"/>
                <w:sz w:val="19"/>
              </w:rPr>
            </w:pPr>
            <w:r>
              <w:rPr>
                <w:rFonts w:ascii="Arial" w:hAnsi="Arial"/>
                <w:sz w:val="19"/>
              </w:rPr>
              <w:t>Beth Seidenberg, M.D.</w:t>
            </w:r>
          </w:p>
        </w:tc>
        <w:tc>
          <w:tcPr>
            <w:tcW w:w="120"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0"/>
              <w:jc w:val="center"/>
              <w:rPr>
                <w:rFonts w:ascii="Arial" w:hAnsi="Arial"/>
                <w:sz w:val="19"/>
              </w:rPr>
            </w:pPr>
            <w:r>
              <w:rPr>
                <w:rFonts w:ascii="Arial" w:hAnsi="Arial"/>
                <w:sz w:val="19"/>
              </w:rPr>
              <w:t>Director</w:t>
            </w:r>
          </w:p>
        </w:tc>
        <w:tc>
          <w:tcPr>
            <w:tcW w:w="106"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center"/>
              <w:rPr/>
            </w:pPr>
            <w:r>
              <w:rPr/>
              <w:t>    </w:t>
            </w:r>
            <w:r>
              <w:rPr/>
              <w:t>, 2026</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265</Pages>
  <Words>162514</Words>
  <Characters>903228</Characters>
  <CharactersWithSpaces>1075904</CharactersWithSpaces>
  <Paragraphs>17881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DRS/A</dc:title>
</cp:coreProperties>
</file>